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jc w:val="center"/>
        <w:outlineLvl w:val="0"/>
        <w:rPr>
          <w:rFonts w:ascii="黑体" w:hAnsi="黑体" w:eastAsia="黑体" w:cs="Arial Unicode MS"/>
          <w:sz w:val="32"/>
          <w:szCs w:val="32"/>
        </w:rPr>
      </w:pPr>
      <w:r>
        <w:rPr>
          <w:rFonts w:ascii="宋体" w:hAnsi="宋体" w:cs="宋体"/>
          <w:sz w:val="24"/>
        </w:rPr>
        <mc:AlternateContent>
          <mc:Choice Requires="wps">
            <w:drawing>
              <wp:anchor distT="45720" distB="45720" distL="114300" distR="114300" simplePos="0" relativeHeight="251659264" behindDoc="0" locked="0" layoutInCell="1" allowOverlap="1">
                <wp:simplePos x="0" y="0"/>
                <wp:positionH relativeFrom="margin">
                  <wp:posOffset>165735</wp:posOffset>
                </wp:positionH>
                <wp:positionV relativeFrom="paragraph">
                  <wp:posOffset>-5715</wp:posOffset>
                </wp:positionV>
                <wp:extent cx="5848350" cy="542925"/>
                <wp:effectExtent l="0" t="0" r="19050" b="28575"/>
                <wp:wrapSquare wrapText="bothSides"/>
                <wp:docPr id="217" name="文本框 217"/>
                <wp:cNvGraphicFramePr/>
                <a:graphic xmlns:a="http://schemas.openxmlformats.org/drawingml/2006/main">
                  <a:graphicData uri="http://schemas.microsoft.com/office/word/2010/wordprocessingShape">
                    <wps:wsp>
                      <wps:cNvSpPr txBox="1">
                        <a:spLocks noChangeArrowheads="1"/>
                      </wps:cNvSpPr>
                      <wps:spPr bwMode="auto">
                        <a:xfrm>
                          <a:off x="0" y="0"/>
                          <a:ext cx="5848350" cy="542925"/>
                        </a:xfrm>
                        <a:prstGeom prst="rect">
                          <a:avLst/>
                        </a:prstGeom>
                      </wps:spPr>
                      <wps:style>
                        <a:lnRef idx="2">
                          <a:schemeClr val="accent2"/>
                        </a:lnRef>
                        <a:fillRef idx="1">
                          <a:schemeClr val="lt1"/>
                        </a:fillRef>
                        <a:effectRef idx="0">
                          <a:schemeClr val="accent2"/>
                        </a:effectRef>
                        <a:fontRef idx="minor">
                          <a:schemeClr val="dk1"/>
                        </a:fontRef>
                      </wps:style>
                      <wps:txbx>
                        <w:txbxContent>
                          <w:p>
                            <w:pPr>
                              <w:rPr>
                                <w:color w:val="00B0F0"/>
                              </w:rPr>
                            </w:pPr>
                            <w:r>
                              <w:rPr>
                                <w:rFonts w:hint="eastAsia" w:ascii="&amp;quot" w:hAnsi="&amp;quot"/>
                                <w:b/>
                                <w:color w:val="0070C0"/>
                              </w:rPr>
                              <w:t>本合同文本仅作为购买服务参考文本，双方签订合同时应结合项目特点和具体要求修订相关内容</w:t>
                            </w:r>
                            <w:r>
                              <w:rPr>
                                <w:rFonts w:hint="eastAsia" w:ascii="&amp;quot" w:hAnsi="&amp;quot"/>
                                <w:color w:val="00B0F0"/>
                              </w:rPr>
                              <w:t>。（</w:t>
                            </w:r>
                            <w:r>
                              <w:rPr>
                                <w:rFonts w:hint="eastAsia" w:ascii="&amp;quot" w:hAnsi="&amp;quot"/>
                                <w:color w:val="FF0000"/>
                                <w:szCs w:val="21"/>
                              </w:rPr>
                              <w:t>注：</w:t>
                            </w:r>
                            <w:r>
                              <w:rPr>
                                <w:rFonts w:ascii="&amp;quot" w:hAnsi="&amp;quot"/>
                                <w:color w:val="FF0000"/>
                                <w:szCs w:val="21"/>
                              </w:rPr>
                              <w:t>1</w:t>
                            </w:r>
                            <w:r>
                              <w:rPr>
                                <w:rFonts w:hint="eastAsia" w:ascii="&amp;quot" w:hAnsi="&amp;quot"/>
                                <w:color w:val="FF0000"/>
                                <w:szCs w:val="21"/>
                              </w:rPr>
                              <w:t>、合同正式文本请删除此段；</w:t>
                            </w:r>
                            <w:r>
                              <w:rPr>
                                <w:rFonts w:ascii="&amp;quot" w:hAnsi="&amp;quot"/>
                                <w:color w:val="FF0000"/>
                                <w:szCs w:val="21"/>
                              </w:rPr>
                              <w:t>2</w:t>
                            </w:r>
                            <w:r>
                              <w:rPr>
                                <w:rFonts w:hint="eastAsia" w:ascii="&amp;quot" w:hAnsi="&amp;quot"/>
                                <w:color w:val="FF0000"/>
                                <w:szCs w:val="21"/>
                              </w:rPr>
                              <w:t>、文本中的注释删除</w:t>
                            </w:r>
                            <w:r>
                              <w:rPr>
                                <w:rFonts w:hint="eastAsia" w:ascii="&amp;quot" w:hAnsi="&amp;quot"/>
                                <w:color w:val="00B0F0"/>
                              </w:rPr>
                              <w: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3.05pt;margin-top:-0.45pt;height:42.75pt;width:460.5pt;mso-position-horizontal-relative:margin;mso-wrap-distance-bottom:3.6pt;mso-wrap-distance-left:9pt;mso-wrap-distance-right:9pt;mso-wrap-distance-top:3.6pt;z-index:251659264;mso-width-relative:page;mso-height-relative:page;" fillcolor="#FFFFFF [3201]" filled="t" stroked="t" coordsize="21600,21600" o:gfxdata="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wRB/XAAAABwEA&#10;AA8AAAAAAAAAAQAgAAAAIgAAAGRycy9kb3ducmV2LnhtbFBLAQIUABQAAAAIAIdO4kCU/0/9VAIA&#10;AKMEAAAOAAAAAAAAAAEAIAAAACYBAABkcnMvZTJvRG9jLnhtbFBLBQYAAAAABgAGAFkBAADsBQAA&#10;AAA=&#10;">
                <v:fill on="t" focussize="0,0"/>
                <v:stroke weight="2pt" color="#C0504D [3205]" joinstyle="round"/>
                <v:imagedata o:title=""/>
                <o:lock v:ext="edit" aspectratio="f"/>
                <v:textbox>
                  <w:txbxContent>
                    <w:p>
                      <w:pPr>
                        <w:rPr>
                          <w:color w:val="00B0F0"/>
                        </w:rPr>
                      </w:pPr>
                      <w:r>
                        <w:rPr>
                          <w:rFonts w:hint="eastAsia" w:ascii="&amp;quot" w:hAnsi="&amp;quot"/>
                          <w:b/>
                          <w:color w:val="0070C0"/>
                        </w:rPr>
                        <w:t>本合同文本仅作为购买服务参考文本，双方签订合同时应结合项目特点和具体要求修订相关内容</w:t>
                      </w:r>
                      <w:r>
                        <w:rPr>
                          <w:rFonts w:hint="eastAsia" w:ascii="&amp;quot" w:hAnsi="&amp;quot"/>
                          <w:color w:val="00B0F0"/>
                        </w:rPr>
                        <w:t>。（</w:t>
                      </w:r>
                      <w:r>
                        <w:rPr>
                          <w:rFonts w:hint="eastAsia" w:ascii="&amp;quot" w:hAnsi="&amp;quot"/>
                          <w:color w:val="FF0000"/>
                          <w:szCs w:val="21"/>
                        </w:rPr>
                        <w:t>注：</w:t>
                      </w:r>
                      <w:r>
                        <w:rPr>
                          <w:rFonts w:ascii="&amp;quot" w:hAnsi="&amp;quot"/>
                          <w:color w:val="FF0000"/>
                          <w:szCs w:val="21"/>
                        </w:rPr>
                        <w:t>1</w:t>
                      </w:r>
                      <w:r>
                        <w:rPr>
                          <w:rFonts w:hint="eastAsia" w:ascii="&amp;quot" w:hAnsi="&amp;quot"/>
                          <w:color w:val="FF0000"/>
                          <w:szCs w:val="21"/>
                        </w:rPr>
                        <w:t>、合同正式文本请删除此段；</w:t>
                      </w:r>
                      <w:r>
                        <w:rPr>
                          <w:rFonts w:ascii="&amp;quot" w:hAnsi="&amp;quot"/>
                          <w:color w:val="FF0000"/>
                          <w:szCs w:val="21"/>
                        </w:rPr>
                        <w:t>2</w:t>
                      </w:r>
                      <w:r>
                        <w:rPr>
                          <w:rFonts w:hint="eastAsia" w:ascii="&amp;quot" w:hAnsi="&amp;quot"/>
                          <w:color w:val="FF0000"/>
                          <w:szCs w:val="21"/>
                        </w:rPr>
                        <w:t>、文本中的注释删除</w:t>
                      </w:r>
                      <w:r>
                        <w:rPr>
                          <w:rFonts w:hint="eastAsia" w:ascii="&amp;quot" w:hAnsi="&amp;quot"/>
                          <w:color w:val="00B0F0"/>
                        </w:rPr>
                        <w:t>）</w:t>
                      </w:r>
                    </w:p>
                  </w:txbxContent>
                </v:textbox>
                <w10:wrap type="square"/>
              </v:shape>
            </w:pict>
          </mc:Fallback>
        </mc:AlternateContent>
      </w:r>
      <w:r>
        <w:rPr>
          <w:rFonts w:hint="eastAsia" w:ascii="黑体" w:hAnsi="黑体" w:eastAsia="黑体" w:cs="Arial Unicode MS"/>
          <w:sz w:val="32"/>
          <w:szCs w:val="32"/>
        </w:rPr>
        <w:t>服务采购合同</w:t>
      </w:r>
    </w:p>
    <w:p>
      <w:pPr>
        <w:spacing w:line="400" w:lineRule="exact"/>
        <w:ind w:firstLine="4196" w:firstLineChars="1900"/>
        <w:rPr>
          <w:rFonts w:ascii="仿宋" w:hAnsi="仿宋" w:eastAsia="仿宋" w:cs="仿宋"/>
          <w:b/>
          <w:sz w:val="22"/>
          <w:lang w:val="zh-CN"/>
        </w:rPr>
      </w:pPr>
    </w:p>
    <w:p>
      <w:pPr>
        <w:spacing w:line="400" w:lineRule="exact"/>
        <w:ind w:firstLine="5766" w:firstLineChars="2872"/>
        <w:rPr>
          <w:rFonts w:ascii="仿宋" w:hAnsi="仿宋" w:eastAsia="仿宋" w:cs="仿宋"/>
          <w:sz w:val="20"/>
          <w:szCs w:val="20"/>
          <w:highlight w:val="yellow"/>
          <w:lang w:val="zh-CN"/>
        </w:rPr>
      </w:pPr>
      <w:r>
        <w:rPr>
          <w:rFonts w:hint="eastAsia" w:ascii="仿宋" w:hAnsi="仿宋" w:eastAsia="仿宋" w:cs="仿宋"/>
          <w:b/>
          <w:sz w:val="20"/>
          <w:szCs w:val="20"/>
          <w:lang w:val="zh-CN"/>
        </w:rPr>
        <w:t>合同编号：</w:t>
      </w:r>
      <w:r>
        <w:rPr>
          <w:rFonts w:hint="eastAsia" w:ascii="仿宋" w:hAnsi="仿宋" w:eastAsia="仿宋" w:cs="仿宋"/>
          <w:sz w:val="20"/>
          <w:szCs w:val="20"/>
          <w:highlight w:val="yellow"/>
          <w:lang w:val="zh-CN"/>
        </w:rPr>
        <w:t>（采购编号）</w:t>
      </w:r>
    </w:p>
    <w:p>
      <w:pPr>
        <w:spacing w:line="400" w:lineRule="exact"/>
        <w:ind w:firstLine="5766" w:firstLineChars="2872"/>
        <w:rPr>
          <w:rFonts w:ascii="仿宋" w:hAnsi="仿宋" w:eastAsia="仿宋" w:cs="仿宋"/>
          <w:sz w:val="20"/>
          <w:szCs w:val="20"/>
          <w:lang w:val="zh-CN"/>
        </w:rPr>
      </w:pPr>
      <w:r>
        <w:rPr>
          <w:rFonts w:hint="eastAsia" w:ascii="仿宋" w:hAnsi="仿宋" w:eastAsia="仿宋" w:cs="仿宋"/>
          <w:b/>
          <w:sz w:val="20"/>
          <w:szCs w:val="20"/>
          <w:lang w:val="zh-CN"/>
        </w:rPr>
        <w:t>签署地点：</w:t>
      </w:r>
      <w:r>
        <w:rPr>
          <w:rFonts w:hint="eastAsia" w:ascii="仿宋" w:hAnsi="仿宋" w:eastAsia="仿宋" w:cs="仿宋"/>
          <w:sz w:val="20"/>
          <w:szCs w:val="20"/>
          <w:lang w:val="zh-CN"/>
        </w:rPr>
        <w:t>江苏医药职业学院</w:t>
      </w:r>
    </w:p>
    <w:p>
      <w:pPr>
        <w:spacing w:line="400" w:lineRule="exact"/>
        <w:rPr>
          <w:rFonts w:ascii="仿宋" w:hAnsi="仿宋" w:eastAsia="仿宋" w:cs="仿宋"/>
          <w:sz w:val="24"/>
          <w:lang w:val="zh-CN"/>
        </w:rPr>
      </w:pPr>
    </w:p>
    <w:p>
      <w:pPr>
        <w:spacing w:line="400" w:lineRule="exact"/>
        <w:rPr>
          <w:rFonts w:cs="仿宋" w:asciiTheme="minorEastAsia" w:hAnsiTheme="minorEastAsia" w:eastAsiaTheme="minorEastAsia"/>
          <w:szCs w:val="21"/>
        </w:rPr>
      </w:pPr>
      <w:r>
        <w:rPr>
          <w:rFonts w:hint="eastAsia" w:cs="仿宋" w:asciiTheme="minorEastAsia" w:hAnsiTheme="minorEastAsia" w:eastAsiaTheme="minorEastAsia"/>
          <w:szCs w:val="21"/>
          <w:lang w:val="zh-CN"/>
        </w:rPr>
        <w:t>甲方（</w:t>
      </w:r>
      <w:r>
        <w:rPr>
          <w:rFonts w:hint="eastAsia" w:cs="仿宋" w:asciiTheme="minorEastAsia" w:hAnsiTheme="minorEastAsia" w:eastAsiaTheme="minorEastAsia"/>
          <w:szCs w:val="21"/>
        </w:rPr>
        <w:t>需方</w:t>
      </w:r>
      <w:r>
        <w:rPr>
          <w:rFonts w:hint="eastAsia" w:cs="仿宋" w:asciiTheme="minorEastAsia" w:hAnsiTheme="minorEastAsia" w:eastAsiaTheme="minorEastAsia"/>
          <w:szCs w:val="21"/>
          <w:lang w:val="zh-CN"/>
        </w:rPr>
        <w:t>）：</w:t>
      </w:r>
      <w:r>
        <w:rPr>
          <w:rFonts w:hint="eastAsia" w:cs="仿宋" w:asciiTheme="minorEastAsia" w:hAnsiTheme="minorEastAsia" w:eastAsiaTheme="minorEastAsia"/>
          <w:szCs w:val="21"/>
        </w:rPr>
        <w:t>: 江苏医药职业学院</w:t>
      </w:r>
    </w:p>
    <w:p>
      <w:pPr>
        <w:spacing w:line="400" w:lineRule="exact"/>
        <w:rPr>
          <w:rFonts w:cs="仿宋" w:asciiTheme="minorEastAsia" w:hAnsiTheme="minorEastAsia" w:eastAsiaTheme="minorEastAsia"/>
          <w:szCs w:val="21"/>
          <w:highlight w:val="yellow"/>
          <w:lang w:val="zh-CN"/>
        </w:rPr>
      </w:pPr>
      <w:r>
        <w:rPr>
          <w:rFonts w:hint="eastAsia" w:cs="仿宋" w:asciiTheme="minorEastAsia" w:hAnsiTheme="minorEastAsia" w:eastAsiaTheme="minorEastAsia"/>
          <w:szCs w:val="21"/>
          <w:highlight w:val="yellow"/>
          <w:lang w:val="zh-CN"/>
        </w:rPr>
        <w:t>乙方（供方）：</w:t>
      </w:r>
      <w:r>
        <w:rPr>
          <w:rFonts w:hint="eastAsia" w:cs="仿宋" w:asciiTheme="minorEastAsia" w:hAnsiTheme="minorEastAsia" w:eastAsiaTheme="minorEastAsia"/>
          <w:szCs w:val="21"/>
          <w:highlight w:val="yellow"/>
          <w:u w:val="single"/>
          <w:lang w:val="zh-CN"/>
        </w:rPr>
        <w:t xml:space="preserve">                    </w:t>
      </w:r>
    </w:p>
    <w:p>
      <w:pPr>
        <w:autoSpaceDE w:val="0"/>
        <w:autoSpaceDN w:val="0"/>
        <w:adjustRightInd w:val="0"/>
        <w:spacing w:line="400" w:lineRule="exact"/>
        <w:ind w:firstLine="482"/>
        <w:rPr>
          <w:rFonts w:cs="仿宋" w:asciiTheme="minorEastAsia" w:hAnsiTheme="minorEastAsia" w:eastAsiaTheme="minorEastAsia"/>
          <w:szCs w:val="21"/>
          <w:highlight w:val="yellow"/>
          <w:lang w:val="zh-CN"/>
        </w:rPr>
      </w:pPr>
    </w:p>
    <w:p>
      <w:pPr>
        <w:autoSpaceDE w:val="0"/>
        <w:autoSpaceDN w:val="0"/>
        <w:adjustRightInd w:val="0"/>
        <w:spacing w:line="400" w:lineRule="exact"/>
        <w:ind w:firstLine="420" w:firstLineChars="200"/>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为了维护甲、乙双方合法权益，根据《中华人民共和国民法典》和江苏医药职业学院</w:t>
      </w:r>
      <w:r>
        <w:rPr>
          <w:rFonts w:hint="eastAsia" w:cs="仿宋" w:asciiTheme="minorEastAsia" w:hAnsiTheme="minorEastAsia" w:eastAsiaTheme="minorEastAsia"/>
          <w:szCs w:val="21"/>
          <w:highlight w:val="yellow"/>
          <w:lang w:val="zh-CN"/>
        </w:rPr>
        <w:t>项目名称</w:t>
      </w:r>
      <w:r>
        <w:rPr>
          <w:rFonts w:hint="eastAsia" w:cs="仿宋" w:asciiTheme="minorEastAsia" w:hAnsiTheme="minorEastAsia" w:eastAsiaTheme="minorEastAsia"/>
          <w:szCs w:val="21"/>
          <w:lang w:val="zh-CN"/>
        </w:rPr>
        <w:t>的采购文件、响应文件及其在采购过程中的承诺</w:t>
      </w:r>
      <w:bookmarkStart w:id="2" w:name="_GoBack"/>
      <w:bookmarkEnd w:id="2"/>
      <w:r>
        <w:rPr>
          <w:rFonts w:hint="eastAsia" w:cs="仿宋" w:asciiTheme="minorEastAsia" w:hAnsiTheme="minorEastAsia" w:eastAsiaTheme="minorEastAsia"/>
          <w:szCs w:val="21"/>
          <w:lang w:val="zh-CN"/>
        </w:rPr>
        <w:t>，经双方协商，同意签定本合同，共同遵守。</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一、合同文件</w:t>
      </w:r>
    </w:p>
    <w:p>
      <w:pPr>
        <w:autoSpaceDE w:val="0"/>
        <w:autoSpaceDN w:val="0"/>
        <w:adjustRightInd w:val="0"/>
        <w:spacing w:line="400" w:lineRule="exact"/>
        <w:ind w:firstLine="420" w:firstLineChars="200"/>
        <w:rPr>
          <w:rFonts w:cs="仿宋" w:asciiTheme="minorEastAsia" w:hAnsiTheme="minorEastAsia" w:eastAsiaTheme="minorEastAsia"/>
          <w:szCs w:val="21"/>
        </w:rPr>
      </w:pPr>
      <w:r>
        <w:rPr>
          <w:rFonts w:hint="eastAsia" w:cs="仿宋" w:asciiTheme="minorEastAsia" w:hAnsiTheme="minorEastAsia" w:eastAsiaTheme="minorEastAsia"/>
          <w:szCs w:val="21"/>
          <w:lang w:val="zh-CN"/>
        </w:rPr>
        <w:t>本合同所附下列文件资料为本合同不可分割的部分：</w:t>
      </w:r>
    </w:p>
    <w:p>
      <w:pPr>
        <w:autoSpaceDE w:val="0"/>
        <w:autoSpaceDN w:val="0"/>
        <w:adjustRightInd w:val="0"/>
        <w:spacing w:line="400" w:lineRule="exact"/>
        <w:ind w:firstLine="420" w:firstLineChars="200"/>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1、政府采购招标文件（包括澄清、修改）；</w:t>
      </w:r>
    </w:p>
    <w:p>
      <w:pPr>
        <w:autoSpaceDE w:val="0"/>
        <w:autoSpaceDN w:val="0"/>
        <w:adjustRightInd w:val="0"/>
        <w:spacing w:line="400" w:lineRule="exact"/>
        <w:ind w:firstLine="420" w:firstLineChars="200"/>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2、乙方投标文件；</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3、中标（成交）通知书；</w:t>
      </w:r>
    </w:p>
    <w:p>
      <w:pPr>
        <w:autoSpaceDE w:val="0"/>
        <w:autoSpaceDN w:val="0"/>
        <w:adjustRightInd w:val="0"/>
        <w:spacing w:line="400" w:lineRule="exact"/>
        <w:ind w:firstLine="420" w:firstLineChars="200"/>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4、中标人在评标过程中做出的有关澄清、说明、承诺或者补正文件；</w:t>
      </w:r>
    </w:p>
    <w:p>
      <w:pPr>
        <w:autoSpaceDE w:val="0"/>
        <w:autoSpaceDN w:val="0"/>
        <w:adjustRightInd w:val="0"/>
        <w:spacing w:line="400" w:lineRule="exact"/>
        <w:ind w:firstLine="420" w:firstLineChars="200"/>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5、政府采购委托协议书。</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二、合同范围和条件</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本合同的范围和条件应与上述合同文件的规定相一致。</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三、采购服务信息</w:t>
      </w:r>
    </w:p>
    <w:tbl>
      <w:tblPr>
        <w:tblStyle w:val="10"/>
        <w:tblW w:w="8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2247"/>
        <w:gridCol w:w="1943"/>
        <w:gridCol w:w="2258"/>
        <w:gridCol w:w="1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 w:hRule="atLeast"/>
          <w:jc w:val="center"/>
        </w:trPr>
        <w:tc>
          <w:tcPr>
            <w:tcW w:w="708" w:type="dxa"/>
            <w:tcMar>
              <w:left w:w="0" w:type="dxa"/>
              <w:right w:w="0" w:type="dxa"/>
            </w:tcMar>
            <w:vAlign w:val="center"/>
          </w:tcPr>
          <w:p>
            <w:pPr>
              <w:autoSpaceDE w:val="0"/>
              <w:autoSpaceDN w:val="0"/>
              <w:adjustRightInd w:val="0"/>
              <w:spacing w:line="400" w:lineRule="exact"/>
              <w:jc w:val="center"/>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编号</w:t>
            </w:r>
          </w:p>
        </w:tc>
        <w:tc>
          <w:tcPr>
            <w:tcW w:w="2247" w:type="dxa"/>
            <w:vAlign w:val="center"/>
          </w:tcPr>
          <w:p>
            <w:pPr>
              <w:autoSpaceDE w:val="0"/>
              <w:autoSpaceDN w:val="0"/>
              <w:adjustRightInd w:val="0"/>
              <w:spacing w:line="400" w:lineRule="exact"/>
              <w:jc w:val="center"/>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服务名称</w:t>
            </w:r>
          </w:p>
        </w:tc>
        <w:tc>
          <w:tcPr>
            <w:tcW w:w="1943" w:type="dxa"/>
            <w:vAlign w:val="center"/>
          </w:tcPr>
          <w:p>
            <w:pPr>
              <w:autoSpaceDE w:val="0"/>
              <w:autoSpaceDN w:val="0"/>
              <w:adjustRightInd w:val="0"/>
              <w:spacing w:line="400" w:lineRule="exact"/>
              <w:ind w:firstLine="420" w:firstLineChars="200"/>
              <w:jc w:val="center"/>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服务内容</w:t>
            </w:r>
          </w:p>
        </w:tc>
        <w:tc>
          <w:tcPr>
            <w:tcW w:w="2258" w:type="dxa"/>
            <w:vAlign w:val="center"/>
          </w:tcPr>
          <w:p>
            <w:pPr>
              <w:autoSpaceDE w:val="0"/>
              <w:autoSpaceDN w:val="0"/>
              <w:adjustRightInd w:val="0"/>
              <w:spacing w:line="400" w:lineRule="exact"/>
              <w:jc w:val="center"/>
              <w:rPr>
                <w:rFonts w:cs="仿宋" w:asciiTheme="minorEastAsia" w:hAnsiTheme="minorEastAsia" w:eastAsiaTheme="minorEastAsia"/>
                <w:szCs w:val="21"/>
              </w:rPr>
            </w:pPr>
            <w:r>
              <w:rPr>
                <w:rFonts w:hint="eastAsia" w:cs="仿宋" w:asciiTheme="minorEastAsia" w:hAnsiTheme="minorEastAsia" w:eastAsiaTheme="minorEastAsia"/>
                <w:szCs w:val="21"/>
              </w:rPr>
              <w:t>技术参数</w:t>
            </w:r>
          </w:p>
        </w:tc>
        <w:tc>
          <w:tcPr>
            <w:tcW w:w="1044" w:type="dxa"/>
            <w:vAlign w:val="center"/>
          </w:tcPr>
          <w:p>
            <w:pPr>
              <w:autoSpaceDE w:val="0"/>
              <w:autoSpaceDN w:val="0"/>
              <w:adjustRightInd w:val="0"/>
              <w:spacing w:line="400" w:lineRule="exact"/>
              <w:jc w:val="center"/>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服务期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708" w:type="dxa"/>
            <w:tcMar>
              <w:left w:w="0" w:type="dxa"/>
              <w:right w:w="0" w:type="dxa"/>
            </w:tcMar>
            <w:vAlign w:val="center"/>
          </w:tcPr>
          <w:p>
            <w:pPr>
              <w:autoSpaceDE w:val="0"/>
              <w:autoSpaceDN w:val="0"/>
              <w:adjustRightInd w:val="0"/>
              <w:spacing w:line="400" w:lineRule="exact"/>
              <w:jc w:val="center"/>
              <w:rPr>
                <w:rFonts w:cs="仿宋" w:asciiTheme="minorEastAsia" w:hAnsiTheme="minorEastAsia" w:eastAsiaTheme="minorEastAsia"/>
                <w:szCs w:val="21"/>
                <w:highlight w:val="yellow"/>
                <w:lang w:val="zh-CN"/>
              </w:rPr>
            </w:pPr>
            <w:r>
              <w:rPr>
                <w:rFonts w:hint="eastAsia" w:cs="仿宋" w:asciiTheme="minorEastAsia" w:hAnsiTheme="minorEastAsia" w:eastAsiaTheme="minorEastAsia"/>
                <w:szCs w:val="21"/>
                <w:highlight w:val="yellow"/>
                <w:lang w:val="zh-CN"/>
              </w:rPr>
              <w:t>1</w:t>
            </w:r>
          </w:p>
        </w:tc>
        <w:tc>
          <w:tcPr>
            <w:tcW w:w="2247" w:type="dxa"/>
            <w:vAlign w:val="center"/>
          </w:tcPr>
          <w:p>
            <w:pPr>
              <w:autoSpaceDE w:val="0"/>
              <w:autoSpaceDN w:val="0"/>
              <w:adjustRightInd w:val="0"/>
              <w:spacing w:line="400" w:lineRule="exact"/>
              <w:ind w:firstLine="420" w:firstLineChars="200"/>
              <w:rPr>
                <w:rFonts w:cs="仿宋" w:asciiTheme="minorEastAsia" w:hAnsiTheme="minorEastAsia" w:eastAsiaTheme="minorEastAsia"/>
                <w:szCs w:val="21"/>
                <w:highlight w:val="yellow"/>
                <w:lang w:val="zh-CN"/>
              </w:rPr>
            </w:pPr>
          </w:p>
        </w:tc>
        <w:tc>
          <w:tcPr>
            <w:tcW w:w="1943" w:type="dxa"/>
            <w:vAlign w:val="center"/>
          </w:tcPr>
          <w:p>
            <w:pPr>
              <w:autoSpaceDE w:val="0"/>
              <w:autoSpaceDN w:val="0"/>
              <w:adjustRightInd w:val="0"/>
              <w:spacing w:line="400" w:lineRule="exact"/>
              <w:jc w:val="center"/>
              <w:rPr>
                <w:rFonts w:cs="仿宋" w:asciiTheme="minorEastAsia" w:hAnsiTheme="minorEastAsia" w:eastAsiaTheme="minorEastAsia"/>
                <w:szCs w:val="21"/>
                <w:highlight w:val="yellow"/>
                <w:lang w:val="zh-CN"/>
              </w:rPr>
            </w:pPr>
            <w:r>
              <w:rPr>
                <w:rFonts w:hint="eastAsia" w:cs="仿宋" w:asciiTheme="minorEastAsia" w:hAnsiTheme="minorEastAsia" w:eastAsiaTheme="minorEastAsia"/>
                <w:szCs w:val="21"/>
                <w:highlight w:val="yellow"/>
                <w:lang w:val="zh-CN"/>
              </w:rPr>
              <w:t>详见投标</w:t>
            </w:r>
          </w:p>
          <w:p>
            <w:pPr>
              <w:autoSpaceDE w:val="0"/>
              <w:autoSpaceDN w:val="0"/>
              <w:adjustRightInd w:val="0"/>
              <w:spacing w:line="400" w:lineRule="exact"/>
              <w:jc w:val="center"/>
              <w:rPr>
                <w:rFonts w:cs="仿宋" w:asciiTheme="minorEastAsia" w:hAnsiTheme="minorEastAsia" w:eastAsiaTheme="minorEastAsia"/>
                <w:szCs w:val="21"/>
                <w:highlight w:val="yellow"/>
                <w:lang w:val="zh-CN"/>
              </w:rPr>
            </w:pPr>
            <w:r>
              <w:rPr>
                <w:rFonts w:hint="eastAsia" w:cs="仿宋" w:asciiTheme="minorEastAsia" w:hAnsiTheme="minorEastAsia" w:eastAsiaTheme="minorEastAsia"/>
                <w:szCs w:val="21"/>
                <w:highlight w:val="yellow"/>
                <w:lang w:val="zh-CN"/>
              </w:rPr>
              <w:t>（响应文件）</w:t>
            </w:r>
          </w:p>
        </w:tc>
        <w:tc>
          <w:tcPr>
            <w:tcW w:w="2258" w:type="dxa"/>
            <w:vAlign w:val="center"/>
          </w:tcPr>
          <w:p>
            <w:pPr>
              <w:autoSpaceDE w:val="0"/>
              <w:autoSpaceDN w:val="0"/>
              <w:adjustRightInd w:val="0"/>
              <w:spacing w:line="400" w:lineRule="exact"/>
              <w:rPr>
                <w:rFonts w:cs="仿宋" w:asciiTheme="minorEastAsia" w:hAnsiTheme="minorEastAsia" w:eastAsiaTheme="minorEastAsia"/>
                <w:szCs w:val="21"/>
                <w:highlight w:val="yellow"/>
                <w:lang w:val="zh-CN"/>
              </w:rPr>
            </w:pPr>
            <w:r>
              <w:rPr>
                <w:rFonts w:hint="eastAsia" w:cs="仿宋" w:asciiTheme="minorEastAsia" w:hAnsiTheme="minorEastAsia" w:eastAsiaTheme="minorEastAsia"/>
                <w:szCs w:val="21"/>
                <w:highlight w:val="yellow"/>
                <w:lang w:val="zh-CN"/>
              </w:rPr>
              <w:t>详细清单及技术参数见后附表</w:t>
            </w:r>
          </w:p>
        </w:tc>
        <w:tc>
          <w:tcPr>
            <w:tcW w:w="1044" w:type="dxa"/>
            <w:vAlign w:val="center"/>
          </w:tcPr>
          <w:p>
            <w:pPr>
              <w:autoSpaceDE w:val="0"/>
              <w:autoSpaceDN w:val="0"/>
              <w:adjustRightInd w:val="0"/>
              <w:spacing w:line="400" w:lineRule="exact"/>
              <w:ind w:firstLine="420" w:firstLineChars="200"/>
              <w:rPr>
                <w:rFonts w:cs="仿宋" w:asciiTheme="minorEastAsia" w:hAnsiTheme="minorEastAsia" w:eastAsiaTheme="minorEastAsia"/>
                <w:szCs w:val="21"/>
                <w:highlight w:val="yellow"/>
                <w:lang w:val="zh-CN"/>
              </w:rPr>
            </w:pPr>
          </w:p>
        </w:tc>
      </w:tr>
    </w:tbl>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四、合同金额</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根据中标（成交）通知书中规定，合同总金额为人民币（大写）</w:t>
      </w:r>
      <w:r>
        <w:rPr>
          <w:rFonts w:hint="eastAsia" w:cs="仿宋" w:asciiTheme="minorEastAsia" w:hAnsiTheme="minorEastAsia" w:eastAsiaTheme="minorEastAsia"/>
          <w:szCs w:val="21"/>
          <w:highlight w:val="yellow"/>
          <w:lang w:val="zh-CN"/>
        </w:rPr>
        <w:t>：  （￥    ）</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此价格为合同执行不变价，不因国家政策变化而变化，该价款包括了服务价格及与之配套的设计、制造、正版软件、检验、包装、运输、保险、税费以及安装、组织验收、培训、技术服务（包括技术资料、图纸提供等）、质保期服务等全部价款，除此之外，甲方不再向乙方支付其他任何费用。</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五、服务时间和地点</w:t>
      </w:r>
    </w:p>
    <w:p>
      <w:pPr>
        <w:autoSpaceDE w:val="0"/>
        <w:autoSpaceDN w:val="0"/>
        <w:adjustRightInd w:val="0"/>
        <w:spacing w:line="400" w:lineRule="exact"/>
        <w:ind w:firstLine="482"/>
        <w:rPr>
          <w:rFonts w:cs="仿宋" w:asciiTheme="minorEastAsia" w:hAnsiTheme="minorEastAsia" w:eastAsiaTheme="minorEastAsia"/>
          <w:szCs w:val="21"/>
          <w:highlight w:val="yellow"/>
          <w:lang w:val="zh-CN"/>
        </w:rPr>
      </w:pPr>
      <w:bookmarkStart w:id="0" w:name="_Toc414743944"/>
      <w:r>
        <w:rPr>
          <w:rFonts w:hint="eastAsia" w:cs="仿宋" w:asciiTheme="minorEastAsia" w:hAnsiTheme="minorEastAsia" w:eastAsiaTheme="minorEastAsia"/>
          <w:szCs w:val="21"/>
          <w:highlight w:val="yellow"/>
          <w:lang w:val="zh-CN"/>
        </w:rPr>
        <w:t>本合同服务期限为</w:t>
      </w:r>
      <w:r>
        <w:rPr>
          <w:rFonts w:hint="eastAsia" w:cs="仿宋" w:asciiTheme="minorEastAsia" w:hAnsiTheme="minorEastAsia" w:eastAsiaTheme="minorEastAsia"/>
          <w:szCs w:val="21"/>
          <w:highlight w:val="yellow"/>
          <w:u w:val="single"/>
          <w:lang w:val="zh-CN"/>
        </w:rPr>
        <w:t xml:space="preserve">  </w:t>
      </w:r>
      <w:r>
        <w:rPr>
          <w:rFonts w:hint="eastAsia" w:cs="仿宋" w:asciiTheme="minorEastAsia" w:hAnsiTheme="minorEastAsia" w:eastAsiaTheme="minorEastAsia"/>
          <w:szCs w:val="21"/>
          <w:highlight w:val="yellow"/>
          <w:lang w:val="zh-CN"/>
        </w:rPr>
        <w:t xml:space="preserve">年；服务期限自 </w:t>
      </w:r>
      <w:r>
        <w:rPr>
          <w:rFonts w:hint="eastAsia" w:cs="仿宋" w:asciiTheme="minorEastAsia" w:hAnsiTheme="minorEastAsia" w:eastAsiaTheme="minorEastAsia"/>
          <w:szCs w:val="21"/>
          <w:highlight w:val="yellow"/>
          <w:u w:val="single"/>
          <w:lang w:val="zh-CN"/>
        </w:rPr>
        <w:t xml:space="preserve">    </w:t>
      </w:r>
      <w:r>
        <w:rPr>
          <w:rFonts w:hint="eastAsia" w:cs="仿宋" w:asciiTheme="minorEastAsia" w:hAnsiTheme="minorEastAsia" w:eastAsiaTheme="minorEastAsia"/>
          <w:szCs w:val="21"/>
          <w:highlight w:val="yellow"/>
          <w:lang w:val="zh-CN"/>
        </w:rPr>
        <w:t>年</w:t>
      </w:r>
      <w:r>
        <w:rPr>
          <w:rFonts w:hint="eastAsia" w:cs="仿宋" w:asciiTheme="minorEastAsia" w:hAnsiTheme="minorEastAsia" w:eastAsiaTheme="minorEastAsia"/>
          <w:szCs w:val="21"/>
          <w:highlight w:val="yellow"/>
          <w:u w:val="single"/>
          <w:lang w:val="zh-CN"/>
        </w:rPr>
        <w:t xml:space="preserve">    </w:t>
      </w:r>
      <w:r>
        <w:rPr>
          <w:rFonts w:hint="eastAsia" w:cs="仿宋" w:asciiTheme="minorEastAsia" w:hAnsiTheme="minorEastAsia" w:eastAsiaTheme="minorEastAsia"/>
          <w:szCs w:val="21"/>
          <w:highlight w:val="yellow"/>
          <w:lang w:val="zh-CN"/>
        </w:rPr>
        <w:t>月</w:t>
      </w:r>
      <w:r>
        <w:rPr>
          <w:rFonts w:hint="eastAsia" w:cs="仿宋" w:asciiTheme="minorEastAsia" w:hAnsiTheme="minorEastAsia" w:eastAsiaTheme="minorEastAsia"/>
          <w:szCs w:val="21"/>
          <w:highlight w:val="yellow"/>
          <w:u w:val="single"/>
          <w:lang w:val="zh-CN"/>
        </w:rPr>
        <w:t xml:space="preserve">   </w:t>
      </w:r>
      <w:r>
        <w:rPr>
          <w:rFonts w:hint="eastAsia" w:cs="仿宋" w:asciiTheme="minorEastAsia" w:hAnsiTheme="minorEastAsia" w:eastAsiaTheme="minorEastAsia"/>
          <w:szCs w:val="21"/>
          <w:highlight w:val="yellow"/>
          <w:lang w:val="zh-CN"/>
        </w:rPr>
        <w:t>日起至</w:t>
      </w:r>
      <w:r>
        <w:rPr>
          <w:rFonts w:hint="eastAsia" w:cs="仿宋" w:asciiTheme="minorEastAsia" w:hAnsiTheme="minorEastAsia" w:eastAsiaTheme="minorEastAsia"/>
          <w:szCs w:val="21"/>
          <w:highlight w:val="yellow"/>
          <w:u w:val="single"/>
          <w:lang w:val="zh-CN"/>
        </w:rPr>
        <w:t xml:space="preserve">   </w:t>
      </w:r>
      <w:r>
        <w:rPr>
          <w:rFonts w:hint="eastAsia" w:cs="仿宋" w:asciiTheme="minorEastAsia" w:hAnsiTheme="minorEastAsia" w:eastAsiaTheme="minorEastAsia"/>
          <w:szCs w:val="21"/>
          <w:highlight w:val="yellow"/>
          <w:lang w:val="zh-CN"/>
        </w:rPr>
        <w:t>年</w:t>
      </w:r>
      <w:r>
        <w:rPr>
          <w:rFonts w:hint="eastAsia" w:cs="仿宋" w:asciiTheme="minorEastAsia" w:hAnsiTheme="minorEastAsia" w:eastAsiaTheme="minorEastAsia"/>
          <w:szCs w:val="21"/>
          <w:highlight w:val="yellow"/>
          <w:u w:val="single"/>
          <w:lang w:val="zh-CN"/>
        </w:rPr>
        <w:t xml:space="preserve">   </w:t>
      </w:r>
      <w:r>
        <w:rPr>
          <w:rFonts w:hint="eastAsia" w:cs="仿宋" w:asciiTheme="minorEastAsia" w:hAnsiTheme="minorEastAsia" w:eastAsiaTheme="minorEastAsia"/>
          <w:szCs w:val="21"/>
          <w:highlight w:val="yellow"/>
          <w:lang w:val="zh-CN"/>
        </w:rPr>
        <w:t>月</w:t>
      </w:r>
      <w:r>
        <w:rPr>
          <w:rFonts w:hint="eastAsia" w:cs="仿宋" w:asciiTheme="minorEastAsia" w:hAnsiTheme="minorEastAsia" w:eastAsiaTheme="minorEastAsia"/>
          <w:szCs w:val="21"/>
          <w:highlight w:val="yellow"/>
          <w:u w:val="single"/>
          <w:lang w:val="zh-CN"/>
        </w:rPr>
        <w:t xml:space="preserve">   </w:t>
      </w:r>
      <w:r>
        <w:rPr>
          <w:rFonts w:hint="eastAsia" w:cs="仿宋" w:asciiTheme="minorEastAsia" w:hAnsiTheme="minorEastAsia" w:eastAsiaTheme="minorEastAsia"/>
          <w:szCs w:val="21"/>
          <w:highlight w:val="yellow"/>
          <w:lang w:val="zh-CN"/>
        </w:rPr>
        <w:t>日止。</w:t>
      </w:r>
    </w:p>
    <w:p>
      <w:pPr>
        <w:autoSpaceDE w:val="0"/>
        <w:autoSpaceDN w:val="0"/>
        <w:adjustRightInd w:val="0"/>
        <w:spacing w:line="400" w:lineRule="exact"/>
        <w:ind w:firstLine="482"/>
        <w:rPr>
          <w:rFonts w:cs="仿宋" w:asciiTheme="minorEastAsia" w:hAnsiTheme="minorEastAsia" w:eastAsiaTheme="minorEastAsia"/>
          <w:szCs w:val="21"/>
          <w:highlight w:val="yellow"/>
          <w:lang w:val="zh-CN"/>
        </w:rPr>
      </w:pPr>
      <w:r>
        <w:rPr>
          <w:rFonts w:hint="eastAsia" w:cs="仿宋" w:asciiTheme="minorEastAsia" w:hAnsiTheme="minorEastAsia" w:eastAsiaTheme="minorEastAsia"/>
          <w:szCs w:val="21"/>
          <w:highlight w:val="yellow"/>
          <w:lang w:val="zh-CN"/>
        </w:rPr>
        <w:t>本合同服务地点为：</w:t>
      </w:r>
      <w:r>
        <w:rPr>
          <w:rFonts w:hint="eastAsia" w:cs="仿宋" w:asciiTheme="minorEastAsia" w:hAnsiTheme="minorEastAsia" w:eastAsiaTheme="minorEastAsia"/>
          <w:szCs w:val="21"/>
          <w:lang w:val="zh-CN"/>
        </w:rPr>
        <w:t>江苏医药职业学院指定地点</w:t>
      </w:r>
      <w:r>
        <w:rPr>
          <w:rFonts w:hint="eastAsia" w:cs="仿宋" w:asciiTheme="minorEastAsia" w:hAnsiTheme="minorEastAsia" w:eastAsiaTheme="minorEastAsia"/>
          <w:szCs w:val="21"/>
          <w:highlight w:val="yellow"/>
          <w:lang w:val="zh-CN"/>
        </w:rPr>
        <w:t xml:space="preserve"> </w:t>
      </w:r>
    </w:p>
    <w:bookmarkEnd w:id="0"/>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bookmarkStart w:id="1" w:name="_Toc414743945"/>
      <w:r>
        <w:rPr>
          <w:rFonts w:hint="eastAsia" w:cs="仿宋" w:asciiTheme="minorEastAsia" w:hAnsiTheme="minorEastAsia" w:eastAsiaTheme="minorEastAsia"/>
          <w:b/>
          <w:bCs/>
          <w:szCs w:val="21"/>
        </w:rPr>
        <w:t>六、服务质量标准</w:t>
      </w:r>
    </w:p>
    <w:p>
      <w:commentRangeStart w:id="4"/>
      <w:commentRangeStart w:id="0"/>
      <w:pPr>
        <w:autoSpaceDE w:val="0"/>
        <w:autoSpaceDN w:val="0"/>
        <w:adjustRightInd w:val="0"/>
        <w:spacing w:line="400" w:lineRule="exact"/>
        <w:ind w:firstLine="482"/>
        <w:rPr>
          <w:rFonts w:cs="仿宋" w:asciiTheme="minorEastAsia" w:hAnsiTheme="minorEastAsia" w:eastAsiaTheme="minorEastAsia"/>
          <w:szCs w:val="21"/>
          <w:highlight w:val="yellow"/>
        </w:rPr>
      </w:pPr>
      <w:r>
        <w:rPr>
          <w:rFonts w:hint="eastAsia" w:cs="仿宋" w:asciiTheme="minorEastAsia" w:hAnsiTheme="minorEastAsia" w:eastAsiaTheme="minorEastAsia"/>
          <w:szCs w:val="21"/>
          <w:highlight w:val="yellow"/>
        </w:rPr>
        <w:t>（</w:t>
      </w:r>
      <w:r>
        <w:rPr>
          <w:rFonts w:hint="eastAsia" w:cs="仿宋" w:asciiTheme="minorEastAsia" w:hAnsiTheme="minorEastAsia" w:eastAsiaTheme="minorEastAsia"/>
          <w:szCs w:val="21"/>
          <w:highlight w:val="yellow"/>
          <w:lang w:val="zh-CN"/>
        </w:rPr>
        <w:t>此处需要根据服务的不同具体添加。</w:t>
      </w:r>
      <w:r>
        <w:rPr>
          <w:rFonts w:hint="eastAsia" w:cs="仿宋" w:asciiTheme="minorEastAsia" w:hAnsiTheme="minorEastAsia" w:eastAsiaTheme="minorEastAsia"/>
          <w:szCs w:val="21"/>
          <w:highlight w:val="yellow"/>
        </w:rPr>
        <w:t>）</w:t>
      </w:r>
      <w:commentRangeEnd w:id="0"/>
      <w:r>
        <w:commentReference w:id="0"/>
      </w:r>
      <w:commentRangeEnd w:id="4"/>
      <w:r>
        <w:commentReference w:id="4"/>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七、验收办法</w:t>
      </w:r>
      <w:bookmarkEnd w:id="1"/>
    </w:p>
    <w:p>
      <w:pPr>
        <w:autoSpaceDE w:val="0"/>
        <w:autoSpaceDN w:val="0"/>
        <w:adjustRightInd w:val="0"/>
        <w:spacing w:line="400" w:lineRule="exact"/>
        <w:ind w:firstLine="482"/>
        <w:rPr>
          <w:rFonts w:cs="仿宋" w:asciiTheme="minorEastAsia" w:hAnsiTheme="minorEastAsia" w:eastAsiaTheme="minorEastAsia"/>
          <w:szCs w:val="21"/>
        </w:rPr>
      </w:pPr>
      <w:r>
        <w:rPr>
          <w:rFonts w:hint="eastAsia" w:cs="仿宋" w:asciiTheme="minorEastAsia" w:hAnsiTheme="minorEastAsia" w:eastAsiaTheme="minorEastAsia"/>
          <w:szCs w:val="21"/>
          <w:highlight w:val="yellow"/>
        </w:rPr>
        <w:t>（此处需要根据服务的不同具体添加。）</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八、付款方式</w:t>
      </w:r>
      <w:r>
        <w:rPr>
          <w:rFonts w:hint="eastAsia" w:cs="仿宋" w:asciiTheme="minorEastAsia" w:hAnsiTheme="minorEastAsia" w:eastAsiaTheme="minorEastAsia"/>
          <w:b/>
          <w:bCs/>
          <w:color w:val="FF0000"/>
          <w:szCs w:val="21"/>
        </w:rPr>
        <w:t>（二种方式，选择一种，正式合同中须删除此处填写说明）</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合同签订后，乙方完成全部供货、服务提供完毕，甲方验收合格后支付合同价的70%款项；审计合格后付至审计价的90%，余款待完成合同规定服务事项及合同履约</w:t>
      </w:r>
      <w:r>
        <w:rPr>
          <w:rFonts w:hint="eastAsia" w:cs="仿宋" w:asciiTheme="minorEastAsia" w:hAnsiTheme="minorEastAsia" w:eastAsiaTheme="minorEastAsia"/>
          <w:szCs w:val="21"/>
          <w:u w:val="single"/>
          <w:lang w:val="zh-CN"/>
        </w:rPr>
        <w:t xml:space="preserve">   </w:t>
      </w:r>
      <w:r>
        <w:rPr>
          <w:rFonts w:hint="eastAsia" w:cs="仿宋" w:asciiTheme="minorEastAsia" w:hAnsiTheme="minorEastAsia" w:eastAsiaTheme="minorEastAsia"/>
          <w:szCs w:val="21"/>
          <w:highlight w:val="yellow"/>
          <w:lang w:val="zh-CN"/>
        </w:rPr>
        <w:t>年</w:t>
      </w:r>
      <w:r>
        <w:rPr>
          <w:rFonts w:hint="eastAsia" w:cs="仿宋" w:asciiTheme="minorEastAsia" w:hAnsiTheme="minorEastAsia" w:eastAsiaTheme="minorEastAsia"/>
          <w:szCs w:val="21"/>
          <w:lang w:val="zh-CN"/>
        </w:rPr>
        <w:t>后一次性无息付清。</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以上付款均以人民币通过银行支付, 付款前需提供我校财务处认可的增值税发票。</w:t>
      </w:r>
    </w:p>
    <w:p>
      <w:pPr>
        <w:autoSpaceDE w:val="0"/>
        <w:autoSpaceDN w:val="0"/>
        <w:adjustRightInd w:val="0"/>
        <w:spacing w:line="400" w:lineRule="exact"/>
        <w:ind w:firstLine="482"/>
        <w:rPr>
          <w:rFonts w:cs="仿宋" w:asciiTheme="minorEastAsia" w:hAnsiTheme="minorEastAsia" w:eastAsiaTheme="minorEastAsia"/>
          <w:b/>
          <w:color w:val="FF0000"/>
          <w:szCs w:val="21"/>
          <w:lang w:val="zh-CN"/>
        </w:rPr>
      </w:pPr>
      <w:r>
        <w:rPr>
          <w:rFonts w:hint="eastAsia" w:cs="仿宋" w:asciiTheme="minorEastAsia" w:hAnsiTheme="minorEastAsia" w:eastAsiaTheme="minorEastAsia"/>
          <w:b/>
          <w:color w:val="FF0000"/>
          <w:szCs w:val="21"/>
          <w:lang w:val="zh-CN"/>
        </w:rPr>
        <w:t>提醒：合同中的付款方式必须与中标文件中的付款方式相一致。（正式合同中须删除此处填写说明）</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1、采购单位使用人民币支付货款。</w:t>
      </w:r>
      <w:r>
        <w:rPr>
          <w:rFonts w:hint="eastAsia" w:cs="仿宋" w:asciiTheme="minorEastAsia" w:hAnsiTheme="minorEastAsia" w:eastAsiaTheme="minorEastAsia"/>
          <w:b/>
          <w:color w:val="FF0000"/>
          <w:szCs w:val="21"/>
          <w:highlight w:val="yellow"/>
          <w:lang w:val="zh-CN"/>
        </w:rPr>
        <w:t>（分期付款按照实际填写）。</w:t>
      </w:r>
    </w:p>
    <w:p>
      <w:pPr>
        <w:autoSpaceDE w:val="0"/>
        <w:autoSpaceDN w:val="0"/>
        <w:adjustRightInd w:val="0"/>
        <w:spacing w:line="400" w:lineRule="exact"/>
        <w:ind w:firstLine="420" w:firstLineChars="200"/>
        <w:rPr>
          <w:rFonts w:cs="仿宋" w:asciiTheme="minorEastAsia" w:hAnsiTheme="minorEastAsia" w:eastAsiaTheme="minorEastAsia"/>
          <w:szCs w:val="21"/>
          <w:highlight w:val="yellow"/>
          <w:lang w:val="zh-CN"/>
        </w:rPr>
      </w:pPr>
      <w:r>
        <w:rPr>
          <w:rFonts w:hint="eastAsia" w:cs="仿宋" w:asciiTheme="minorEastAsia" w:hAnsiTheme="minorEastAsia" w:eastAsiaTheme="minorEastAsia"/>
          <w:szCs w:val="21"/>
          <w:highlight w:val="yellow"/>
          <w:lang w:val="zh-CN"/>
        </w:rPr>
        <w:t>第一次付款：合同签订后，驻场技术人员入场、技术团队前期对接完成相关系统、平台正常运行后支付合同总价的40%；</w:t>
      </w:r>
    </w:p>
    <w:p>
      <w:commentRangeStart w:id="1"/>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highlight w:val="yellow"/>
          <w:lang w:val="zh-CN"/>
        </w:rPr>
        <w:t>第二次付款：正式服务期满一年后，由校方组织最终验收，依据服务评分，核算实际服务费用后支付合同总价的60%。以上付款均无息。</w:t>
      </w:r>
      <w:commentRangeEnd w:id="1"/>
      <w:r>
        <w:commentReference w:id="1"/>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2、付款前，乙方应向甲方开具等额增值税发票。否则，甲方有权迟延付款并不承担逾期付款违约责任，且乙方不得以此作为拒绝或迟延履行本合同项下各项义务的抗辩理由。</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甲方发票开票信息</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甲方名称：江苏医药职业学院纳税人识别号：</w:t>
      </w:r>
      <w:r>
        <w:rPr>
          <w:rFonts w:cs="仿宋" w:asciiTheme="minorEastAsia" w:hAnsiTheme="minorEastAsia" w:eastAsiaTheme="minorEastAsia"/>
          <w:szCs w:val="21"/>
          <w:lang w:val="zh-CN"/>
        </w:rPr>
        <w:t>123200004660027966</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开户行及账号：建设银行盐城城南支行  32001735038052500575</w:t>
      </w:r>
    </w:p>
    <w:p>
      <w:pPr>
        <w:spacing w:line="440" w:lineRule="exact"/>
        <w:ind w:firstLine="420" w:firstLineChars="200"/>
        <w:rPr>
          <w:rFonts w:cs="宋体" w:asciiTheme="minorEastAsia" w:hAnsiTheme="minorEastAsia" w:eastAsiaTheme="minorEastAsia"/>
          <w:szCs w:val="21"/>
          <w:highlight w:val="yellow"/>
        </w:rPr>
      </w:pPr>
      <w:r>
        <w:rPr>
          <w:rFonts w:hint="eastAsia" w:cs="宋体" w:asciiTheme="minorEastAsia" w:hAnsiTheme="minorEastAsia" w:eastAsiaTheme="minorEastAsia"/>
          <w:szCs w:val="21"/>
          <w:highlight w:val="yellow"/>
        </w:rPr>
        <w:t>3、乙方收取货款开户行名称、账号等信息：</w:t>
      </w:r>
    </w:p>
    <w:p>
      <w:pPr>
        <w:spacing w:line="440" w:lineRule="exact"/>
        <w:ind w:firstLine="420" w:firstLineChars="200"/>
        <w:rPr>
          <w:rFonts w:cs="宋体" w:asciiTheme="minorEastAsia" w:hAnsiTheme="minorEastAsia" w:eastAsiaTheme="minorEastAsia"/>
          <w:szCs w:val="21"/>
          <w:highlight w:val="yellow"/>
        </w:rPr>
      </w:pPr>
      <w:r>
        <w:rPr>
          <w:rFonts w:hint="eastAsia" w:cs="宋体" w:asciiTheme="minorEastAsia" w:hAnsiTheme="minorEastAsia" w:eastAsiaTheme="minorEastAsia"/>
          <w:szCs w:val="21"/>
          <w:highlight w:val="yellow"/>
        </w:rPr>
        <w:t>单位名称：</w:t>
      </w:r>
      <w:r>
        <w:rPr>
          <w:rFonts w:cs="宋体" w:asciiTheme="minorEastAsia" w:hAnsiTheme="minorEastAsia" w:eastAsiaTheme="minorEastAsia"/>
          <w:szCs w:val="21"/>
          <w:highlight w:val="yellow"/>
        </w:rPr>
        <w:t xml:space="preserve"> </w:t>
      </w:r>
    </w:p>
    <w:p>
      <w:pPr>
        <w:spacing w:line="440" w:lineRule="exact"/>
        <w:ind w:firstLine="420" w:firstLineChars="200"/>
        <w:rPr>
          <w:rFonts w:cs="宋体" w:asciiTheme="minorEastAsia" w:hAnsiTheme="minorEastAsia" w:eastAsiaTheme="minorEastAsia"/>
          <w:szCs w:val="21"/>
          <w:highlight w:val="yellow"/>
        </w:rPr>
      </w:pPr>
      <w:r>
        <w:rPr>
          <w:rFonts w:hint="eastAsia" w:cs="宋体" w:asciiTheme="minorEastAsia" w:hAnsiTheme="minorEastAsia" w:eastAsiaTheme="minorEastAsia"/>
          <w:szCs w:val="21"/>
          <w:highlight w:val="yellow"/>
        </w:rPr>
        <w:t>开户行名称：</w:t>
      </w:r>
    </w:p>
    <w:p>
      <w:pPr>
        <w:spacing w:line="440" w:lineRule="exact"/>
        <w:ind w:firstLine="420" w:firstLineChars="200"/>
        <w:rPr>
          <w:rFonts w:cs="宋体" w:asciiTheme="minorEastAsia" w:hAnsiTheme="minorEastAsia" w:eastAsiaTheme="minorEastAsia"/>
          <w:szCs w:val="21"/>
          <w:highlight w:val="yellow"/>
        </w:rPr>
      </w:pPr>
      <w:r>
        <w:rPr>
          <w:rFonts w:hint="eastAsia" w:cs="宋体" w:asciiTheme="minorEastAsia" w:hAnsiTheme="minorEastAsia" w:eastAsiaTheme="minorEastAsia"/>
          <w:szCs w:val="21"/>
          <w:highlight w:val="yellow"/>
        </w:rPr>
        <w:t>行号：</w:t>
      </w:r>
    </w:p>
    <w:p>
      <w:pPr>
        <w:spacing w:line="440" w:lineRule="exact"/>
        <w:ind w:firstLine="420" w:firstLineChars="200"/>
        <w:rPr>
          <w:rFonts w:cs="宋体" w:asciiTheme="minorEastAsia" w:hAnsiTheme="minorEastAsia" w:eastAsiaTheme="minorEastAsia"/>
          <w:szCs w:val="21"/>
          <w:highlight w:val="yellow"/>
        </w:rPr>
      </w:pPr>
      <w:r>
        <w:rPr>
          <w:rFonts w:hint="eastAsia" w:cs="宋体" w:asciiTheme="minorEastAsia" w:hAnsiTheme="minorEastAsia" w:eastAsiaTheme="minorEastAsia"/>
          <w:szCs w:val="21"/>
          <w:highlight w:val="yellow"/>
        </w:rPr>
        <w:t>账号：</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九、履约保证金</w:t>
      </w:r>
    </w:p>
    <w:p>
      <w:pPr>
        <w:autoSpaceDE w:val="0"/>
        <w:autoSpaceDN w:val="0"/>
        <w:adjustRightInd w:val="0"/>
        <w:spacing w:line="400" w:lineRule="exact"/>
        <w:ind w:firstLine="482"/>
        <w:jc w:val="left"/>
        <w:rPr>
          <w:rFonts w:cs="仿宋" w:asciiTheme="minorEastAsia" w:hAnsiTheme="minorEastAsia" w:eastAsiaTheme="minorEastAsia"/>
          <w:szCs w:val="21"/>
          <w:lang w:val="zh-CN"/>
        </w:rPr>
      </w:pPr>
      <w:r>
        <w:rPr>
          <w:rFonts w:cs="仿宋" w:asciiTheme="minorEastAsia" w:hAnsiTheme="minorEastAsia" w:eastAsiaTheme="minorEastAsia"/>
          <w:szCs w:val="21"/>
          <w:lang w:val="zh-CN"/>
        </w:rPr>
        <w:t>1</w:t>
      </w:r>
      <w:r>
        <w:rPr>
          <w:rFonts w:hint="eastAsia" w:cs="仿宋" w:asciiTheme="minorEastAsia" w:hAnsiTheme="minorEastAsia" w:eastAsiaTheme="minorEastAsia"/>
          <w:szCs w:val="21"/>
        </w:rPr>
        <w:t>、</w:t>
      </w:r>
      <w:r>
        <w:rPr>
          <w:rFonts w:hint="eastAsia" w:cs="仿宋" w:asciiTheme="minorEastAsia" w:hAnsiTheme="minorEastAsia" w:eastAsiaTheme="minorEastAsia"/>
          <w:szCs w:val="21"/>
          <w:lang w:val="zh-CN"/>
        </w:rPr>
        <w:t>履约保证金用于补偿甲方因乙方不能履行或不能完全履行合同义务而蒙受的损失。</w:t>
      </w:r>
    </w:p>
    <w:p>
      <w:commentRangeStart w:id="5"/>
      <w:pPr>
        <w:autoSpaceDE w:val="0"/>
        <w:autoSpaceDN w:val="0"/>
        <w:adjustRightInd w:val="0"/>
        <w:spacing w:line="400" w:lineRule="exact"/>
        <w:ind w:firstLine="482"/>
        <w:rPr>
          <w:rFonts w:cs="仿宋" w:asciiTheme="minorEastAsia" w:hAnsiTheme="minorEastAsia" w:eastAsiaTheme="minorEastAsia"/>
          <w:szCs w:val="21"/>
          <w:lang w:val="zh-CN"/>
        </w:rPr>
      </w:pPr>
      <w:r>
        <w:rPr>
          <w:rFonts w:cs="仿宋" w:asciiTheme="minorEastAsia" w:hAnsiTheme="minorEastAsia" w:eastAsiaTheme="minorEastAsia"/>
          <w:szCs w:val="21"/>
          <w:lang w:val="zh-CN"/>
        </w:rPr>
        <w:t>2</w:t>
      </w:r>
      <w:r>
        <w:rPr>
          <w:rFonts w:hint="eastAsia" w:cs="仿宋" w:asciiTheme="minorEastAsia" w:hAnsiTheme="minorEastAsia" w:eastAsiaTheme="minorEastAsia"/>
          <w:szCs w:val="21"/>
        </w:rPr>
        <w:t>、</w:t>
      </w:r>
      <w:r>
        <w:rPr>
          <w:rFonts w:hint="eastAsia" w:cs="仿宋" w:asciiTheme="minorEastAsia" w:hAnsiTheme="minorEastAsia" w:eastAsiaTheme="minorEastAsia"/>
          <w:szCs w:val="21"/>
          <w:lang w:val="zh-CN"/>
        </w:rPr>
        <w:t>在签订合同前，乙方需向招标人交纳人民币_______元作为本合同的履约保证金（具体金额为中标价的5%）。履约保证金以转帐、电汇或网汇形式汇转至招标人指定帐户并存于甲方处，待项目验收结束后无质量问题一次性无息退还。</w:t>
      </w:r>
      <w:commentRangeEnd w:id="5"/>
      <w:r>
        <w:commentReference w:id="5"/>
      </w:r>
    </w:p>
    <w:p>
      <w:pPr>
        <w:spacing w:line="440" w:lineRule="exact"/>
        <w:ind w:firstLine="420" w:firstLineChars="200"/>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3、乙方如提供AA级以上信用报告的（需经信用管理部门备案的第三方信用报告），只需缴纳合同金额的2.5%的履约保证金。如果乙方不履行合同约定的义务，未能完全履行合同规定的义务或其履行不符合合同的约定，甲方有权扣除履约保证金取得补偿。</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十、所有权归属</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乙方将服务成果交付甲方，并且经甲乙双方共同验收合格后所有权转移给甲方，在所有权转移之前，标的物损毁、灭失的风险归乙方，乙方保证所交付的服务成果的所有权完全属于乙方且无任何抵押、查封等产权瑕疵。</w:t>
      </w:r>
    </w:p>
    <w:p>
      <w:commentRangeStart w:id="9"/>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如乙方交付的服务成果有产权瑕疵的，视为乙方违约，乙方须向甲方支付20%的违约金；如果合同总金额价款已经支付完毕或者开始支付合同价款时才发现产权有瑕疵的，乙方仍须支付上述违约金并且赔偿甲方由此所遭受的一切损失。</w:t>
      </w:r>
      <w:commentRangeEnd w:id="9"/>
      <w:r>
        <w:commentReference w:id="9"/>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十一、售后服务及承诺</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1、服务质量保证期限自提交服务验收合格之</w:t>
      </w:r>
      <w:r>
        <w:rPr>
          <w:rFonts w:hint="eastAsia" w:cs="仿宋" w:asciiTheme="minorEastAsia" w:hAnsiTheme="minorEastAsia" w:eastAsiaTheme="minorEastAsia"/>
          <w:szCs w:val="21"/>
          <w:highlight w:val="yellow"/>
          <w:lang w:val="zh-CN"/>
        </w:rPr>
        <w:t>日起</w:t>
      </w:r>
      <w:r>
        <w:rPr>
          <w:rFonts w:hint="eastAsia" w:cs="仿宋" w:asciiTheme="minorEastAsia" w:hAnsiTheme="minorEastAsia" w:eastAsiaTheme="minorEastAsia"/>
          <w:szCs w:val="21"/>
          <w:highlight w:val="yellow"/>
          <w:u w:val="single"/>
          <w:lang w:val="zh-CN"/>
        </w:rPr>
        <w:t xml:space="preserve">    </w:t>
      </w:r>
      <w:r>
        <w:rPr>
          <w:rFonts w:hint="eastAsia" w:cs="仿宋" w:asciiTheme="minorEastAsia" w:hAnsiTheme="minorEastAsia" w:eastAsiaTheme="minorEastAsia"/>
          <w:szCs w:val="21"/>
          <w:lang w:val="zh-CN"/>
        </w:rPr>
        <w:t>个月，在质量保证期内，乙方应对服务出现的问题负责处理并承担一切费用，并且赔偿甲方的损失。</w:t>
      </w:r>
    </w:p>
    <w:p>
      <w:pPr>
        <w:autoSpaceDE w:val="0"/>
        <w:autoSpaceDN w:val="0"/>
        <w:adjustRightInd w:val="0"/>
        <w:spacing w:line="400" w:lineRule="exact"/>
        <w:ind w:firstLine="482"/>
        <w:rPr>
          <w:rFonts w:cs="仿宋" w:asciiTheme="minorEastAsia" w:hAnsiTheme="minorEastAsia" w:eastAsiaTheme="minorEastAsia"/>
          <w:b/>
          <w:color w:val="FF0000"/>
          <w:szCs w:val="21"/>
          <w:lang w:val="zh-CN"/>
        </w:rPr>
      </w:pPr>
      <w:r>
        <w:rPr>
          <w:rFonts w:hint="eastAsia" w:cs="仿宋" w:asciiTheme="minorEastAsia" w:hAnsiTheme="minorEastAsia" w:eastAsiaTheme="minorEastAsia"/>
          <w:b/>
          <w:color w:val="FF0000"/>
          <w:szCs w:val="21"/>
          <w:lang w:val="zh-CN"/>
        </w:rPr>
        <w:t>提醒：合同中的质保期限必须与中标文件的质保期（最终承诺）相一致。（正式合同中须删除此处填写说明）</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2、乙方有完善的服务体系，有能力提供持续的、本地化售后服务。</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3、乙方负责系统安装和调试以及操作人员培训，并制定详细的培训计划，使操作人员能独立进行管理、操作、维护和故障处理等工作，做好相关记录及技术文档收集整理，待验收后移交。</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4、服务范围：负责招标文件所涉及到的所有服务。</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十二、知识产权</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乙方保证，甲方在享受服务或者服务的任何一部分时，免受第三方提出的侵犯其专利权、商标权或其他知识产权的起诉。如发生此类纠纷，由乙方承担一切责任；如因此给甲方造成损失的，乙方负责全额赔偿。</w:t>
      </w:r>
    </w:p>
    <w:p>
      <w:commentRangeStart w:id="6"/>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2、乙方为执行本合同而提供的技术资料或者其他相关资料、软件等由甲方永久免费使用。</w:t>
      </w:r>
      <w:commentRangeEnd w:id="6"/>
      <w:r>
        <w:commentReference w:id="6"/>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rPr>
        <w:t>3、</w:t>
      </w:r>
      <w:r>
        <w:rPr>
          <w:rFonts w:hint="eastAsia" w:cs="仿宋" w:asciiTheme="minorEastAsia" w:hAnsiTheme="minorEastAsia" w:eastAsiaTheme="minorEastAsia"/>
          <w:szCs w:val="21"/>
          <w:lang w:val="zh-CN"/>
        </w:rPr>
        <w:t>未经</w:t>
      </w:r>
      <w:r>
        <w:rPr>
          <w:rFonts w:hint="eastAsia" w:cs="仿宋" w:asciiTheme="minorEastAsia" w:hAnsiTheme="minorEastAsia" w:eastAsiaTheme="minorEastAsia"/>
          <w:szCs w:val="21"/>
        </w:rPr>
        <w:t>甲</w:t>
      </w:r>
      <w:r>
        <w:rPr>
          <w:rFonts w:hint="eastAsia" w:cs="仿宋" w:asciiTheme="minorEastAsia" w:hAnsiTheme="minorEastAsia" w:eastAsiaTheme="minorEastAsia"/>
          <w:szCs w:val="21"/>
          <w:lang w:val="zh-CN"/>
        </w:rPr>
        <w:t>方书面同意，</w:t>
      </w:r>
      <w:r>
        <w:rPr>
          <w:rFonts w:hint="eastAsia" w:cs="仿宋" w:asciiTheme="minorEastAsia" w:hAnsiTheme="minorEastAsia" w:eastAsiaTheme="minorEastAsia"/>
          <w:szCs w:val="21"/>
        </w:rPr>
        <w:t>乙</w:t>
      </w:r>
      <w:r>
        <w:rPr>
          <w:rFonts w:hint="eastAsia" w:cs="仿宋" w:asciiTheme="minorEastAsia" w:hAnsiTheme="minorEastAsia" w:eastAsiaTheme="minorEastAsia"/>
          <w:szCs w:val="21"/>
          <w:lang w:val="zh-CN"/>
        </w:rPr>
        <w:t>方不得将需方针对该采购标的物所提供的技术标准、技术要求、图纸、工艺、采购订单内容等泄露给任何第三方，否则，需方将依据有关法律追究供方责任，并要求供方赔偿由此给需方造成的损失。</w:t>
      </w:r>
    </w:p>
    <w:p>
      <w:pPr>
        <w:autoSpaceDE w:val="0"/>
        <w:autoSpaceDN w:val="0"/>
        <w:adjustRightInd w:val="0"/>
        <w:spacing w:line="400" w:lineRule="exact"/>
        <w:ind w:firstLine="482"/>
        <w:rPr>
          <w:rFonts w:asciiTheme="minorEastAsia" w:hAnsiTheme="minorEastAsia" w:eastAsiaTheme="minorEastAsia"/>
          <w:szCs w:val="21"/>
          <w:lang w:val="zh-CN"/>
        </w:rPr>
      </w:pPr>
      <w:r>
        <w:rPr>
          <w:rFonts w:hint="eastAsia" w:cs="仿宋" w:asciiTheme="minorEastAsia" w:hAnsiTheme="minorEastAsia" w:eastAsiaTheme="minorEastAsia"/>
          <w:szCs w:val="21"/>
        </w:rPr>
        <w:t>4、对于上述涉及的知识产权权利，供方许可需方在本合同约定范围内使用。</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十三、甲方责任</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1、及时办理付款手续。</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2、负责提供工作场地，协助乙方办理有关事宜。</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3、对合同条款及所知悉的乙方商业秘密负有保密义务。</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十四、乙方责任</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1、保证所提供服务为投标文件承诺服务，符合相关法律法规规定并且满足甲方的需求，保证其配套项目部件为全新的未使用的且符合相关的质量要求。</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2、保证所提供服务的售后服务，严格依据投标文件及相关承诺，对服务以及与之配套的项目进行保修、维护等服务。</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3、保证其所供服务不存在侵犯第三方知识产权的行为，否则由此产生的损失由乙方承担。</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十五、违约责任</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1、乙方所供服务成果及与之配套项目等不符合合同约定标准，甲方有权拒收。同时，乙方向甲方支付合同总金额20%的违约金。</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2、乙方不能交付服务成果时，乙方向甲方支付合同总金额20%的违约金。</w:t>
      </w:r>
    </w:p>
    <w:p>
      <w:commentRangeStart w:id="2"/>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3、乙方逾期交付服务成果或</w:t>
      </w:r>
      <w:r>
        <w:rPr>
          <w:rFonts w:hint="eastAsia" w:cs="仿宋" w:asciiTheme="minorEastAsia" w:hAnsiTheme="minorEastAsia" w:eastAsiaTheme="minorEastAsia"/>
          <w:szCs w:val="21"/>
        </w:rPr>
        <w:t>乙方未按照本合同的约定期限完成服务</w:t>
      </w:r>
      <w:r>
        <w:rPr>
          <w:rFonts w:hint="eastAsia" w:cs="仿宋" w:asciiTheme="minorEastAsia" w:hAnsiTheme="minorEastAsia" w:eastAsiaTheme="minorEastAsia"/>
          <w:szCs w:val="21"/>
          <w:lang w:val="zh-CN"/>
        </w:rPr>
        <w:t>的，每逾1日乙方向甲方支付合同总金额3‰的滞纳金。逾期交付超过30日，甲方有权决定是否继续履行合同，如甲方决定终止履行合同的，乙方向甲方支付合同总金额20%的违约金，并且赔偿甲方因此所遭受的损失。</w:t>
      </w:r>
      <w:commentRangeEnd w:id="2"/>
      <w:r>
        <w:commentReference w:id="2"/>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4、任何一方由于不可抗力原因不能履行合同时，在不可抗力事件结束后1日内向对方通报，以尽量减轻可能给对方造成的损失，在取得有关机构的不可抗力证明或双方谅解确认后，根据情况可部分或全部免于承担违约责任。</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cs="仿宋" w:asciiTheme="minorEastAsia" w:hAnsiTheme="minorEastAsia" w:eastAsiaTheme="minorEastAsia"/>
          <w:szCs w:val="21"/>
          <w:lang w:val="zh-CN"/>
        </w:rPr>
        <w:t>5</w:t>
      </w:r>
      <w:r>
        <w:rPr>
          <w:rFonts w:hint="eastAsia" w:cs="仿宋" w:asciiTheme="minorEastAsia" w:hAnsiTheme="minorEastAsia" w:eastAsiaTheme="minorEastAsia"/>
          <w:szCs w:val="21"/>
          <w:lang w:val="zh-CN"/>
        </w:rPr>
        <w:t>、甲方应配合乙方的工作，若因甲方原因造成乙方未完成规定采购内容，甲方不得扣除乙方相应费用。</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6、如因乙方自身原因，不履行合同义务或者履行合同义务不符合约定的，应当承担继续履行、采取补救措施或者由甲方扣除相应合同价款作为对甲方造成损失的赔偿。</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7、乙方未经甲方书面同意将本合同的全部或部分服务转让给第三方，或者将合同权利、对甲方享有的债权转让给第三方的，该等转让对甲方无效，且甲方有权单方解除本合同。</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8、如乙方不履行质保义务，甲方有权委托第三方进行替换或从第三方购买替代品，由此发生的费用由乙方承担，除此之外乙方还应向甲方承担本合同总金额20%的违约金。</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9、因乙方存在其他违约行为或因乙方原因导致合同目的无法实现或合同无法继续履行的，甲方有权解除合同。</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w:t>
      </w:r>
      <w:r>
        <w:rPr>
          <w:rFonts w:cs="仿宋" w:asciiTheme="minorEastAsia" w:hAnsiTheme="minorEastAsia" w:eastAsiaTheme="minorEastAsia"/>
          <w:szCs w:val="21"/>
          <w:lang w:val="zh-CN"/>
        </w:rPr>
        <w:t>0</w:t>
      </w:r>
      <w:r>
        <w:rPr>
          <w:rFonts w:hint="eastAsia" w:cs="仿宋" w:asciiTheme="minorEastAsia" w:hAnsiTheme="minorEastAsia" w:eastAsiaTheme="minorEastAsia"/>
          <w:szCs w:val="21"/>
          <w:lang w:val="zh-CN"/>
        </w:rPr>
        <w:t>、乙方违反本合同的约定，除按本合同的约定承担违约责任外，还应赔偿甲方包括但不限于直接损失、甲方向第三方的违约或赔偿损失、误工费、鉴定费、损失的评估费、律师费、诉讼费或仲裁费、保全费、保险费、公告费、执行费等全部损失。</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11、本合同所涉及全部违约金，甲方均有权从未付合同价款中扣除，乙方对此无异议。</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12、其它违约责任按《中华人民共和国民法典》处理。</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十六、不可抗力</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甲乙双方的任何一方由于不可抗力不能履行合同时，应当及时通知对方不能履行或不能完全履行的情况和理由；在取得有关主管机关证明以后，允许延期履行、部分履行或者终止履行合同的，根据情况可部分或全部免予承担违约责任。</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十七、保密</w:t>
      </w:r>
    </w:p>
    <w:p>
      <w:commentRangeStart w:id="7"/>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乙方在合同履行期间知悉甲方的工作秘密（包括相关业务信息），不得透露或以其他方式提供给合同双方以外的其他方（包括乙方内部与本合同无关的任何人员），乙方的保密责任不因本合同的终止而终止。乙方违反本合同所规定的保密义务，应按照本合同总金额的10%支付违约金。</w:t>
      </w:r>
      <w:commentRangeEnd w:id="7"/>
      <w:r>
        <w:commentReference w:id="7"/>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甲方有义务保护乙方的知识产权，未经乙方同意，甲方对乙方交付的成果文件、资料不得向第三方转让或用于本合同以外的项目。如发生以上情况，乙方有权索赔。</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十八、合同解除</w:t>
      </w:r>
    </w:p>
    <w:p>
      <w:commentRangeStart w:id="3"/>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甲方依据本合同约定或法律规定单方解除合同的，自解除合同的通知到达乙方时，合同自行终止。乙方应于合同解除之日起15日内退还甲方全部已支付款项并按一年期贷款市场报价利率四倍计取的资金占用期间的利息，赔偿甲方因此造成的损失，并支付甲方合同总价款30%的违约金。</w:t>
      </w:r>
      <w:commentRangeEnd w:id="3"/>
      <w:r>
        <w:commentReference w:id="3"/>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2、按合同约定或法律规定，解除合同的事由发生时，解除权人可以解除合同。享有解除权的一方应当自解除事由发生之日起三年内行使解除权，期限届满不行使的，解除权消灭。</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十九、通知与送达</w:t>
      </w:r>
    </w:p>
    <w:p>
      <w:pPr>
        <w:pStyle w:val="14"/>
        <w:wordWrap/>
        <w:spacing w:line="360" w:lineRule="auto"/>
        <w:ind w:firstLine="420"/>
        <w:outlineLvl w:val="9"/>
        <w:rPr>
          <w:rFonts w:cs="仿宋" w:asciiTheme="minorEastAsia" w:hAnsiTheme="minorEastAsia" w:eastAsiaTheme="minorEastAsia"/>
          <w:bCs w:val="0"/>
          <w:sz w:val="21"/>
          <w:szCs w:val="21"/>
          <w:highlight w:val="yellow"/>
          <w:lang w:val="zh-CN"/>
        </w:rPr>
      </w:pPr>
      <w:r>
        <w:rPr>
          <w:rFonts w:hint="eastAsia" w:cs="仿宋" w:asciiTheme="minorEastAsia" w:hAnsiTheme="minorEastAsia" w:eastAsiaTheme="minorEastAsia"/>
          <w:bCs w:val="0"/>
          <w:sz w:val="21"/>
          <w:szCs w:val="21"/>
          <w:highlight w:val="yellow"/>
          <w:lang w:val="zh-CN"/>
        </w:rPr>
        <w:t>1、乙方的通知与送达方式为：</w:t>
      </w:r>
    </w:p>
    <w:p>
      <w:pPr>
        <w:pStyle w:val="14"/>
        <w:wordWrap/>
        <w:spacing w:line="360" w:lineRule="auto"/>
        <w:ind w:firstLine="420"/>
        <w:outlineLvl w:val="9"/>
        <w:rPr>
          <w:rFonts w:cs="仿宋" w:asciiTheme="minorEastAsia" w:hAnsiTheme="minorEastAsia" w:eastAsiaTheme="minorEastAsia"/>
          <w:bCs w:val="0"/>
          <w:sz w:val="21"/>
          <w:szCs w:val="21"/>
          <w:highlight w:val="yellow"/>
          <w:lang w:val="zh-CN"/>
        </w:rPr>
      </w:pPr>
      <w:r>
        <w:rPr>
          <w:rFonts w:hint="eastAsia" w:cs="仿宋" w:asciiTheme="minorEastAsia" w:hAnsiTheme="minorEastAsia" w:eastAsiaTheme="minorEastAsia"/>
          <w:bCs w:val="0"/>
          <w:sz w:val="21"/>
          <w:szCs w:val="21"/>
          <w:highlight w:val="yellow"/>
          <w:lang w:val="zh-CN"/>
        </w:rPr>
        <w:t>乙方：</w:t>
      </w:r>
    </w:p>
    <w:p>
      <w:pPr>
        <w:pStyle w:val="14"/>
        <w:wordWrap/>
        <w:spacing w:line="360" w:lineRule="auto"/>
        <w:ind w:firstLine="420"/>
        <w:outlineLvl w:val="9"/>
        <w:rPr>
          <w:rFonts w:cs="仿宋" w:asciiTheme="minorEastAsia" w:hAnsiTheme="minorEastAsia" w:eastAsiaTheme="minorEastAsia"/>
          <w:bCs w:val="0"/>
          <w:sz w:val="21"/>
          <w:szCs w:val="21"/>
          <w:highlight w:val="yellow"/>
          <w:lang w:val="zh-CN"/>
        </w:rPr>
      </w:pPr>
      <w:r>
        <w:rPr>
          <w:rFonts w:hint="eastAsia" w:cs="仿宋" w:asciiTheme="minorEastAsia" w:hAnsiTheme="minorEastAsia" w:eastAsiaTheme="minorEastAsia"/>
          <w:bCs w:val="0"/>
          <w:sz w:val="21"/>
          <w:szCs w:val="21"/>
          <w:highlight w:val="yellow"/>
          <w:lang w:val="zh-CN"/>
        </w:rPr>
        <w:t>通讯地址：                      ；</w:t>
      </w:r>
    </w:p>
    <w:p>
      <w:pPr>
        <w:pStyle w:val="14"/>
        <w:wordWrap/>
        <w:spacing w:line="360" w:lineRule="auto"/>
        <w:ind w:firstLine="420"/>
        <w:outlineLvl w:val="9"/>
        <w:rPr>
          <w:rFonts w:cs="仿宋" w:asciiTheme="minorEastAsia" w:hAnsiTheme="minorEastAsia" w:eastAsiaTheme="minorEastAsia"/>
          <w:bCs w:val="0"/>
          <w:sz w:val="21"/>
          <w:szCs w:val="21"/>
          <w:highlight w:val="yellow"/>
          <w:lang w:val="zh-CN"/>
        </w:rPr>
      </w:pPr>
      <w:r>
        <w:rPr>
          <w:rFonts w:hint="eastAsia" w:cs="仿宋" w:asciiTheme="minorEastAsia" w:hAnsiTheme="minorEastAsia" w:eastAsiaTheme="minorEastAsia"/>
          <w:bCs w:val="0"/>
          <w:sz w:val="21"/>
          <w:szCs w:val="21"/>
          <w:highlight w:val="yellow"/>
          <w:lang w:val="zh-CN"/>
        </w:rPr>
        <w:t>联系人：                        ；联系电话（手机）：</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本合同涉及有关通知事项可按照本合同中约定的通知与送达方式，采用邮寄、直接送达、致电或发送短信、E-mail等任一方式进行，邮寄到达（拒收、退回）当日、直接送达或致电以及短信息、E-mail、微信发送当时，即视为乙方接到该通知。</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3、乙方必须保证本合同约定的联络方式真实有效，乙方前述联系方式不真实、不准确或未留联系方式，一切责任均由乙方承担。联系方式如有变更，必须于变更后3日内书面通知甲方。否则，甲方按照本合同约定的通知与送达方式向其发出的任何通知均视为合法有效。乙方拒收、不在指定地址或联系不上导致通知被退回，均视为通知已经合法有效送达。</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4、乙方同意，乙方在本通知与送达条款中预留的地址及电话、传真、电子邮箱等，均可作为送达诉讼（或仲裁）文书（包括但不限于起诉状、上诉状、申请书、传票、举证通知书、出庭通知书、各类裁定、判决等）的确认地址。即，只要人民法院（或仲裁委员会）将诉讼（或仲裁）文书发送至乙方预留的地址、传真、电子邮箱，即视为送达。因乙方自己提供或者确认的送达地址不准确、送达地址变更未及时告知甲方，乙方或者乙方指定的联系人拒绝签收，导致诉讼（或仲裁）文书未能被乙方实际接收的，文书退回之日视为送达之日。</w:t>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二十、争议解决</w:t>
      </w:r>
    </w:p>
    <w:p>
      <w:commentRangeStart w:id="8"/>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甲乙双方在合同履行中发生争议，应通过协商解决。如协商不成，可以向甲方所在地人民法院提起诉讼。</w:t>
      </w:r>
      <w:commentRangeEnd w:id="8"/>
      <w:r>
        <w:commentReference w:id="8"/>
      </w: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二十一、合同生效及其他</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1、 本合同一式肆份，甲方执叁份、乙方执壹份，经甲乙双方代表签字、加盖公章后生效，合同履行完成后自行终止。招标（采购）和投标（响应性）文件为本合同组成部分。</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2、组成本合同的文件及解释顺序为：本合同及补充条款、中标通知书、投标（响应性）文件及其附件；招标（采购）文件及补充通知。如果乙方的投标（响应性）文件及其附件高于国家行业标准的，以投标文件及其附件为准。</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3、本合同生效之后，任何一方违反本合同规定，除了承担违约金外，还要承担守约方向违约方追究违约责任所支付的一切费用，包括但不限于律师费、诉讼费、保全费、公告费、鉴定费、交通食宿费等。</w:t>
      </w:r>
    </w:p>
    <w:p>
      <w:pPr>
        <w:autoSpaceDE w:val="0"/>
        <w:autoSpaceDN w:val="0"/>
        <w:adjustRightInd w:val="0"/>
        <w:spacing w:line="400" w:lineRule="exact"/>
        <w:ind w:firstLine="482"/>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4、本合同未尽事宜，供需双方可签订补充协议，与本合同具有同等法律效力。</w:t>
      </w:r>
    </w:p>
    <w:p>
      <w:pPr>
        <w:autoSpaceDE w:val="0"/>
        <w:autoSpaceDN w:val="0"/>
        <w:adjustRightInd w:val="0"/>
        <w:spacing w:line="400" w:lineRule="exact"/>
        <w:ind w:firstLine="482"/>
        <w:rPr>
          <w:rFonts w:cs="仿宋" w:asciiTheme="minorEastAsia" w:hAnsiTheme="minorEastAsia" w:eastAsiaTheme="minorEastAsia"/>
          <w:szCs w:val="21"/>
        </w:rPr>
      </w:pPr>
      <w:r>
        <w:rPr>
          <w:rFonts w:hint="eastAsia" w:cs="仿宋" w:asciiTheme="minorEastAsia" w:hAnsiTheme="minorEastAsia" w:eastAsiaTheme="minorEastAsia"/>
          <w:szCs w:val="21"/>
          <w:lang w:val="zh-CN"/>
        </w:rPr>
        <w:t>5、本合同相关的招投标资料/谈判纪要以及与本合同相关的其他文件均为本合同附件，与本合同具有同等法律效力。若本合同附件与本合同内容存在不一致之处，以本合同约定为准。</w:t>
      </w:r>
    </w:p>
    <w:p>
      <w:pPr>
        <w:pStyle w:val="2"/>
        <w:rPr>
          <w:rFonts w:asciiTheme="minorEastAsia" w:hAnsiTheme="minorEastAsia" w:eastAsiaTheme="minorEastAsia"/>
          <w:szCs w:val="21"/>
        </w:rPr>
      </w:pPr>
    </w:p>
    <w:p>
      <w:pPr>
        <w:autoSpaceDE w:val="0"/>
        <w:autoSpaceDN w:val="0"/>
        <w:adjustRightInd w:val="0"/>
        <w:spacing w:line="400" w:lineRule="exact"/>
        <w:ind w:firstLine="422" w:firstLineChars="200"/>
        <w:outlineLvl w:val="1"/>
        <w:rPr>
          <w:rFonts w:cs="仿宋" w:asciiTheme="minorEastAsia" w:hAnsiTheme="minorEastAsia" w:eastAsiaTheme="minorEastAsia"/>
          <w:b/>
          <w:bCs/>
          <w:szCs w:val="21"/>
        </w:rPr>
      </w:pPr>
      <w:r>
        <w:rPr>
          <w:rFonts w:hint="eastAsia" w:cs="仿宋" w:asciiTheme="minorEastAsia" w:hAnsiTheme="minorEastAsia" w:eastAsiaTheme="minorEastAsia"/>
          <w:b/>
          <w:bCs/>
          <w:szCs w:val="21"/>
        </w:rPr>
        <w:t>附件</w:t>
      </w:r>
      <w:r>
        <w:rPr>
          <w:rFonts w:cs="仿宋" w:asciiTheme="minorEastAsia" w:hAnsiTheme="minorEastAsia" w:eastAsiaTheme="minorEastAsia"/>
          <w:b/>
          <w:bCs/>
          <w:szCs w:val="21"/>
        </w:rPr>
        <w:t>：</w:t>
      </w:r>
      <w:r>
        <w:rPr>
          <w:rFonts w:hint="eastAsia" w:cs="仿宋" w:asciiTheme="minorEastAsia" w:hAnsiTheme="minorEastAsia" w:eastAsiaTheme="minorEastAsia"/>
          <w:b/>
          <w:bCs/>
          <w:szCs w:val="21"/>
        </w:rPr>
        <w:t>清单明细</w:t>
      </w:r>
      <w:r>
        <w:rPr>
          <w:rFonts w:hint="eastAsia" w:cs="仿宋" w:asciiTheme="minorEastAsia" w:hAnsiTheme="minorEastAsia" w:eastAsiaTheme="minorEastAsia"/>
          <w:b/>
          <w:bCs/>
          <w:color w:val="FF0000"/>
          <w:szCs w:val="21"/>
        </w:rPr>
        <w:t>（如有，则保留；如无，则删除，正式合同中须删除此处填写说明）</w:t>
      </w:r>
    </w:p>
    <w:p>
      <w:pPr>
        <w:spacing w:line="276" w:lineRule="auto"/>
        <w:ind w:firstLine="420"/>
        <w:rPr>
          <w:rFonts w:asciiTheme="minorEastAsia" w:hAnsiTheme="minorEastAsia" w:eastAsiaTheme="minorEastAsia"/>
          <w:bCs/>
          <w:color w:val="000000"/>
          <w:szCs w:val="21"/>
        </w:rPr>
      </w:pPr>
    </w:p>
    <w:p>
      <w:pPr>
        <w:spacing w:line="276" w:lineRule="auto"/>
        <w:ind w:firstLine="420"/>
        <w:rPr>
          <w:rFonts w:asciiTheme="minorEastAsia" w:hAnsiTheme="minorEastAsia" w:eastAsiaTheme="minorEastAsia"/>
          <w:bCs/>
          <w:color w:val="000000"/>
          <w:szCs w:val="21"/>
        </w:rPr>
      </w:pPr>
      <w:r>
        <w:rPr>
          <w:rFonts w:hint="eastAsia" w:asciiTheme="minorEastAsia" w:hAnsiTheme="minorEastAsia" w:eastAsiaTheme="minorEastAsia"/>
          <w:bCs/>
          <w:color w:val="000000"/>
          <w:szCs w:val="21"/>
        </w:rPr>
        <w:t>（以下无正文）</w:t>
      </w:r>
    </w:p>
    <w:p>
      <w:pPr>
        <w:pStyle w:val="2"/>
        <w:rPr>
          <w:rFonts w:asciiTheme="minorEastAsia" w:hAnsiTheme="minorEastAsia" w:eastAsiaTheme="minorEastAsia"/>
          <w:szCs w:val="21"/>
        </w:rPr>
      </w:pPr>
    </w:p>
    <w:p>
      <w:pPr>
        <w:pStyle w:val="2"/>
        <w:rPr>
          <w:rFonts w:asciiTheme="minorEastAsia" w:hAnsiTheme="minorEastAsia" w:eastAsiaTheme="minorEastAsia"/>
          <w:szCs w:val="21"/>
        </w:rPr>
      </w:pPr>
    </w:p>
    <w:p>
      <w:pPr>
        <w:autoSpaceDE w:val="0"/>
        <w:autoSpaceDN w:val="0"/>
        <w:adjustRightInd w:val="0"/>
        <w:spacing w:line="400" w:lineRule="exact"/>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 xml:space="preserve">甲方(印章): 江苏医药职业学院               乙方(印章):                  </w:t>
      </w:r>
    </w:p>
    <w:p>
      <w:pPr>
        <w:snapToGrid w:val="0"/>
        <w:spacing w:line="360" w:lineRule="auto"/>
        <w:jc w:val="left"/>
        <w:rPr>
          <w:rFonts w:ascii="宋体" w:hAnsi="宋体" w:cs="Arial Unicode MS"/>
          <w:szCs w:val="21"/>
        </w:rPr>
      </w:pPr>
      <w:r>
        <w:rPr>
          <w:rFonts w:hint="eastAsia" w:ascii="宋体" w:hAnsi="宋体" w:cs="Arial Unicode MS"/>
          <w:szCs w:val="21"/>
        </w:rPr>
        <w:t>法定代表人或其委托代理人：                 法定代表人或其委托代理人：</w:t>
      </w:r>
    </w:p>
    <w:p>
      <w:pPr>
        <w:snapToGrid w:val="0"/>
        <w:spacing w:line="360" w:lineRule="auto"/>
        <w:ind w:firstLine="420" w:firstLineChars="200"/>
        <w:jc w:val="left"/>
        <w:rPr>
          <w:rFonts w:ascii="宋体" w:hAnsi="宋体" w:cs="Arial Unicode MS"/>
          <w:szCs w:val="21"/>
        </w:rPr>
      </w:pPr>
      <w:r>
        <w:rPr>
          <w:rFonts w:hint="eastAsia" w:ascii="宋体" w:hAnsi="宋体" w:cs="Arial Unicode MS"/>
          <w:szCs w:val="21"/>
        </w:rPr>
        <w:t>（签字）:                                     (签字):</w:t>
      </w:r>
    </w:p>
    <w:p>
      <w:pPr>
        <w:autoSpaceDE w:val="0"/>
        <w:autoSpaceDN w:val="0"/>
        <w:adjustRightInd w:val="0"/>
        <w:spacing w:line="276" w:lineRule="auto"/>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 xml:space="preserve">地址: 盐城市解放南路283号                  地址:                       </w:t>
      </w:r>
    </w:p>
    <w:p>
      <w:pPr>
        <w:autoSpaceDE w:val="0"/>
        <w:autoSpaceDN w:val="0"/>
        <w:adjustRightInd w:val="0"/>
        <w:spacing w:line="276" w:lineRule="auto"/>
        <w:jc w:val="left"/>
        <w:rPr>
          <w:rFonts w:cs="仿宋" w:asciiTheme="minorEastAsia" w:hAnsiTheme="minorEastAsia" w:eastAsiaTheme="minorEastAsia"/>
          <w:szCs w:val="21"/>
          <w:lang w:val="zh-CN"/>
        </w:rPr>
      </w:pPr>
      <w:r>
        <w:rPr>
          <w:rFonts w:hint="eastAsia" w:cs="仿宋" w:asciiTheme="minorEastAsia" w:hAnsiTheme="minorEastAsia" w:eastAsiaTheme="minorEastAsia"/>
          <w:szCs w:val="21"/>
          <w:lang w:val="zh-CN"/>
        </w:rPr>
        <w:t xml:space="preserve">电话:051588550311                          电话:                             </w:t>
      </w:r>
    </w:p>
    <w:p>
      <w:pPr>
        <w:pStyle w:val="2"/>
        <w:rPr>
          <w:rFonts w:asciiTheme="minorEastAsia" w:hAnsiTheme="minorEastAsia" w:eastAsiaTheme="minorEastAsia"/>
          <w:lang w:val="zh-CN"/>
        </w:rPr>
      </w:pPr>
    </w:p>
    <w:p>
      <w:pPr>
        <w:tabs>
          <w:tab w:val="left" w:pos="7820"/>
        </w:tabs>
        <w:autoSpaceDE w:val="0"/>
        <w:autoSpaceDN w:val="0"/>
        <w:adjustRightInd w:val="0"/>
        <w:spacing w:line="400" w:lineRule="exact"/>
        <w:ind w:firstLine="3080" w:firstLineChars="1400"/>
        <w:rPr>
          <w:rFonts w:cs="仿宋" w:asciiTheme="minorEastAsia" w:hAnsiTheme="minorEastAsia" w:eastAsiaTheme="minorEastAsia"/>
          <w:sz w:val="22"/>
          <w:lang w:val="zh-CN"/>
        </w:rPr>
      </w:pPr>
      <w:r>
        <w:rPr>
          <w:rFonts w:hint="eastAsia" w:cs="仿宋" w:asciiTheme="minorEastAsia" w:hAnsiTheme="minorEastAsia" w:eastAsiaTheme="minorEastAsia"/>
          <w:sz w:val="22"/>
          <w:lang w:val="zh-CN"/>
        </w:rPr>
        <w:t xml:space="preserve">                           年   月   日</w:t>
      </w:r>
    </w:p>
    <w:p/>
    <w:sectPr>
      <w:footerReference r:id="rId3" w:type="default"/>
      <w:pgSz w:w="11906" w:h="16838"/>
      <w:pgMar w:top="1134" w:right="1134" w:bottom="1134" w:left="1134" w:header="851" w:footer="992" w:gutter="0"/>
      <w:cols w:space="425" w:num="1"/>
      <w:docGrid w:type="lines" w:linePitch="312" w:charSpace="0"/>
    </w:sectPr>
  </w:body>
</w:document>
</file>

<file path=word/comments.xml><?xml version="1.0" encoding="utf-8"?>
<w:comments xmlns:w="http://schemas.openxmlformats.org/wordprocessingml/2006/main">
  <w:comment w:id="0" w:author="合同审查系统" w:date="2026-03-10T01:09:45Z">
    <w:p>
      <w:r>
        <w:t>[HIGH] 验收标准不明确，收款依赖甲方主观评分
问题：合同未明确具体验收标准及流程，第二次付款需满一年后经甲方验收评分核算，供应商无法预判交付是否合格，收款存在延迟及金额不确定性
依据：模板中存在留白或填写说明，表明正式合同文本尚未定稿，相关权利义务缺失或不确定。
建议：补充明确验收标准（量化指标、验收流程、异议处理机制），删除“依据服务评分核算费用”，明确验收合格后支付固定比例款项，缩短付款周期
关联条款：7.u1、8.1.2
复核说明：POC阶段默认全量人工复核，禁止系统自动采纳或自动修改合同内容。；命中的条款属于模板说明或留白提示，需要人工判断是否为正式合同内容。；该风险关联多个条款，需要人工综合判断其交叉影响与修改方式。；高风险项默认进入人工复核。</w:t>
      </w:r>
    </w:p>
  </w:comment>
  <w:comment w:id="1" w:author="合同审查系统" w:date="2026-03-10T01:09:45Z">
    <w:p>
      <w:r>
        <w:t>[HIGH] 验收标准不明确，收款依赖甲方主观评分
问题：合同未明确具体验收标准及流程，第二次付款需满一年后经甲方验收评分核算，供应商无法预判交付是否合格，收款存在延迟及金额不确定性
依据：模板中存在留白或填写说明，表明正式合同文本尚未定稿，相关权利义务缺失或不确定。
建议：补充明确验收标准（量化指标、验收流程、异议处理机制），删除“依据服务评分核算费用”，明确验收合格后支付固定比例款项，缩短付款周期
关联条款：7.u1、8.1.2
复核说明：POC阶段默认全量人工复核，禁止系统自动采纳或自动修改合同内容。；命中的条款属于模板说明或留白提示，需要人工判断是否为正式合同内容。；该风险关联多个条款，需要人工综合判断其交叉影响与修改方式。；高风险项默认进入人工复核。</w:t>
      </w:r>
    </w:p>
  </w:comment>
  <w:comment w:id="2" w:author="合同审查系统" w:date="2026-03-10T01:09:45Z">
    <w:p>
      <w:r>
        <w:t>[HIGH] 逾期交付滞纳金过高，远超法定上限
问题：逾期交付日滞纳金为合同总金额3‰，年费率达109.5%，远超民间借贷利率司法保护上限，可能被认定无效但仍面临高额违约金风险
依据：根据原文“乙方逾期交付服务成果或乙方未按照本合同的约定期限完成服务的，每逾1日乙方向甲方支付合同总金额3‰的滞纳金。”，违约责任与赔偿机制存在需要进一步人工审核的风险点。
建议：将滞纳金调整为不超过一年期LPR4倍的标准，或约定日0.05%的合理比例
关联条款：15.3.1
复核说明：POC阶段默认全量人工复核，禁止系统自动采纳或自动修改合同内容。；风险说明涉及法律判断、比例上限或法规口径，必须由人工确认。；高风险项默认进入人工复核。</w:t>
      </w:r>
    </w:p>
  </w:comment>
  <w:comment w:id="3" w:author="合同审查系统" w:date="2026-03-10T01:09:45Z">
    <w:p>
      <w:r>
        <w:t>[HIGH] 甲方单方解除合同的多重责任叠加，负担过重
问题：甲方单方解除合同后，乙方需退还全部已付款+四倍LPR利息+30%违约金+赔偿损失，多重责任叠加对供应商不公平
依据：根据原文“甲方依据本合同约定或法律规定单方解除合同的，自解除合同的通知到达乙方时，合同自行终止。乙方应于合同解除之日起15日内退还…”，解除、终止与续约机制存在需要进一步人工审核的风险点。
建议：删除四倍LPR利息与30%违约金的叠加，约定仅退还已付款及合理利息（一年期LPR），或违约金不超过合同总价10%且不重复计算
关联条款：18.1
复核说明：POC阶段默认全量人工复核，禁止系统自动采纳或自动修改合同内容。；风险说明涉及法律判断、比例上限或法规口径，必须由人工确认。；高风险项默认进入人工复核。</w:t>
      </w:r>
    </w:p>
  </w:comment>
  <w:comment w:id="4" w:author="合同审查系统" w:date="2026-03-10T01:09:45Z">
    <w:p>
      <w:r>
        <w:t>[HIGH] 服务质量标准缺失，交付要求不明确
问题：合同未明确具体服务质量标准，仅标注需补充，供应商无法确定交付是否符合要求，易引发纠纷
依据：模板中存在留白或填写说明，表明正式合同文本尚未定稿，相关权利义务缺失或不确定。
建议：补充明确服务质量标准（国家/行业标准、甲方具体要求等），明确质量不合格的处理方式
关联条款：6.u1
复核说明：POC阶段默认全量人工复核，禁止系统自动采纳或自动修改合同内容。；命中的条款属于模板说明或留白提示，需要人工判断是否为正式合同内容。；高风险项默认进入人工复核。</w:t>
      </w:r>
    </w:p>
  </w:comment>
  <w:comment w:id="5" w:author="合同审查系统" w:date="2026-03-10T01:09:45Z">
    <w:p>
      <w:r>
        <w:t>[MEDIUM] 履约保证金比例过高，占用供应商资金
问题：供应商需签订合同前缴纳中标价5%的履约保证金，验收后无质量问题才退还，占用资金且未约定退还期限
依据：付款结算、发票与税费相关条款存在缺失、留白或约定不明确，当前文本不足以支撑稳定履约与争议处理。
建议：降低保证金比例至2%，或约定履行一定阶段后退部分保证金，明确验收合格后10日内退还
关联条款：9.2
复核说明：POC阶段默认全量人工复核，禁止系统自动采纳或自动修改合同内容。</w:t>
      </w:r>
    </w:p>
  </w:comment>
  <w:comment w:id="6" w:author="合同审查系统" w:date="2026-03-10T01:09:45Z">
    <w:p>
      <w:r>
        <w:t>[MEDIUM] 甲方永久免费使用乙方资料，可能侵犯知识产权
问题：甲方永久免费使用乙方执行合同提供的资料，未明确使用范围，可能导致乙方核心知识产权被无偿占用
依据：知识产权归属与使用权相关条款存在缺失、留白或约定不明确，当前文本不足以支撑稳定履约与争议处理。
建议：明确甲方仅可在本合同范围内使用，不得用于其他项目，不得复制传播核心知识产权
关联条款：12.2
复核说明：POC阶段默认全量人工复核，禁止系统自动采纳或自动修改合同内容。</w:t>
      </w:r>
    </w:p>
  </w:comment>
  <w:comment w:id="7" w:author="合同审查系统" w:date="2026-03-10T01:09:45Z">
    <w:p>
      <w:r>
        <w:t>[MEDIUM] 保密责任无期限，边界不清晰
问题：乙方保密责任不因合同终止而终止，未区分商业秘密与一般信息，长期承担不必要义务
依据：根据原文“乙方的保密责任不因本合同的终止而终止。乙方违反本合同所规定的保密义务，应按照本合同总金额的10%支付违约金。”，保密、数据安全与合规存在需要进一步人工审核的风险点。
建议：明确保密期限（合同终止后3年），区分保密信息范围，降低违约金至5%
关联条款：17.1
复核说明：POC阶段默认全量人工复核，禁止系统自动采纳或自动修改合同内容。</w:t>
      </w:r>
    </w:p>
  </w:comment>
  <w:comment w:id="8" w:author="合同审查系统" w:date="2026-03-10T01:09:45Z">
    <w:p>
      <w:r>
        <w:t>[MEDIUM] 管辖法院为甲方所在地，增加供应商成本
问题：争议向甲方所在地法院起诉，供应商需异地应诉，增加交通时间成本及地方保护风险
依据：根据原文“如协商不成，可以向甲方所在地人民法院提起诉讼。”，争议解决、适用法律与管辖存在需要进一步人工审核的风险点。
建议：约定双方所在地法院均可管辖，或选择第三方中立地点法院
关联条款：20.2
复核说明：POC阶段默认全量人工复核，禁止系统自动采纳或自动修改合同内容。</w:t>
      </w:r>
    </w:p>
  </w:comment>
  <w:comment w:id="9" w:author="合同审查系统" w:date="2026-03-10T01:09:45Z">
    <w:p>
      <w:r>
        <w:t>[MEDIUM] 产权瑕疵违约金过高，未区分故意过失
问题：乙方交付成果有产权瑕疵需支付20%违约金，未区分故意/过失，无补救措施，责任过重
依据：知识产权归属与使用权相关安排对供应商明显不利，责任或负担存在失衡，需要人工评估比例、范围与可谈判空间。
建议：区分故意/过失（故意付违约金，过失约定补救），降低违约金至10%，或不超过实际损失
关联条款：10.4
复核说明：POC阶段默认全量人工复核，禁止系统自动采纳或自动修改合同内容。</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amp;quot">
    <w:altName w:val="Cambria"/>
    <w:panose1 w:val="00000000000000000000"/>
    <w:charset w:val="00"/>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1" name="Text Box 5"/>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wps:spPr>
                    <wps:txbx>
                      <w:txbxContent>
                        <w:p>
                          <w:pPr>
                            <w:pStyle w:val="8"/>
                          </w:pPr>
                          <w:r>
                            <w:fldChar w:fldCharType="begin"/>
                          </w:r>
                          <w:r>
                            <w:instrText xml:space="preserve"> PAGE  \* MERGEFORMAT </w:instrText>
                          </w:r>
                          <w:r>
                            <w:fldChar w:fldCharType="separate"/>
                          </w:r>
                          <w:r>
                            <w:t>6</w:t>
                          </w:r>
                          <w:r>
                            <w:fldChar w:fldCharType="end"/>
                          </w:r>
                        </w:p>
                      </w:txbxContent>
                    </wps:txbx>
                    <wps:bodyPr rot="0" vert="horz" wrap="none" lIns="0" tIns="0" rIns="0" bIns="0" anchor="t" anchorCtr="0" upright="1">
                      <a:spAutoFit/>
                    </wps:bodyPr>
                  </wps:wsp>
                </a:graphicData>
              </a:graphic>
            </wp:anchor>
          </w:drawing>
        </mc:Choice>
        <mc:Fallback>
          <w:pict>
            <v:shape id="Text Box 5" o:spid="_x0000_s1026" o:spt="202" type="#_x0000_t202" style="position:absolute;left:0pt;margin-top:0pt;height:11pt;width:4.6pt;mso-position-horizontal:center;mso-position-horizontal-relative:margin;mso-wrap-style:none;z-index:251659264;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tbuXfQAAAAAgEAAA8AAAAAAAAAAQAgAAAAIgAAAGRycy9kb3ducmV2LnhtbFBLAQIUABQA&#10;AAAIAIdO4kC93/E3+AEAAAAEAAAOAAAAAAAAAAEAIAAAAB8BAABkcnMvZTJvRG9jLnhtbFBLBQYA&#10;AAAABgAGAFkBAACJBQAAAAA=&#10;">
              <v:fill on="f" focussize="0,0"/>
              <v:stroke on="f"/>
              <v:imagedata o:title=""/>
              <o:lock v:ext="edit" aspectratio="f"/>
              <v:textbox inset="0mm,0mm,0mm,0mm" style="mso-fit-shape-to-text:t;">
                <w:txbxContent>
                  <w:p>
                    <w:pPr>
                      <w:pStyle w:val="8"/>
                    </w:pPr>
                    <w:r>
                      <w:fldChar w:fldCharType="begin"/>
                    </w:r>
                    <w:r>
                      <w:instrText xml:space="preserve"> PAGE  \* MERGEFORMAT </w:instrText>
                    </w:r>
                    <w:r>
                      <w:fldChar w:fldCharType="separate"/>
                    </w:r>
                    <w:r>
                      <w:t>6</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ZlZjc3ZmM0ZDZhYTJjZDcyYmM4N2QxZjk0ZDViYjQifQ=="/>
  </w:docVars>
  <w:rsids>
    <w:rsidRoot w:val="00732A59"/>
    <w:rsid w:val="00031C0E"/>
    <w:rsid w:val="000512F2"/>
    <w:rsid w:val="00073B28"/>
    <w:rsid w:val="00082333"/>
    <w:rsid w:val="00140B81"/>
    <w:rsid w:val="00161021"/>
    <w:rsid w:val="00162831"/>
    <w:rsid w:val="002F2266"/>
    <w:rsid w:val="00323A0A"/>
    <w:rsid w:val="00332D0D"/>
    <w:rsid w:val="00340B6A"/>
    <w:rsid w:val="003D1103"/>
    <w:rsid w:val="00481832"/>
    <w:rsid w:val="00497708"/>
    <w:rsid w:val="004D537E"/>
    <w:rsid w:val="00574A09"/>
    <w:rsid w:val="005A149D"/>
    <w:rsid w:val="005C6F57"/>
    <w:rsid w:val="0060263E"/>
    <w:rsid w:val="006047BF"/>
    <w:rsid w:val="006549A0"/>
    <w:rsid w:val="006749C5"/>
    <w:rsid w:val="00675FD7"/>
    <w:rsid w:val="006D5577"/>
    <w:rsid w:val="00732A59"/>
    <w:rsid w:val="007843D2"/>
    <w:rsid w:val="007946C7"/>
    <w:rsid w:val="00795589"/>
    <w:rsid w:val="00841F3F"/>
    <w:rsid w:val="008A1B31"/>
    <w:rsid w:val="008C0F9D"/>
    <w:rsid w:val="008D6852"/>
    <w:rsid w:val="00913A29"/>
    <w:rsid w:val="00930DA9"/>
    <w:rsid w:val="00970495"/>
    <w:rsid w:val="009B116A"/>
    <w:rsid w:val="009D0B1D"/>
    <w:rsid w:val="00B45283"/>
    <w:rsid w:val="00B7315F"/>
    <w:rsid w:val="00B9015F"/>
    <w:rsid w:val="00C250CA"/>
    <w:rsid w:val="00C2714F"/>
    <w:rsid w:val="00C40325"/>
    <w:rsid w:val="00C84A5A"/>
    <w:rsid w:val="00CA45EF"/>
    <w:rsid w:val="00CF3189"/>
    <w:rsid w:val="00D11DA8"/>
    <w:rsid w:val="00D53B30"/>
    <w:rsid w:val="00DC6A9F"/>
    <w:rsid w:val="00E20A4F"/>
    <w:rsid w:val="00E254D0"/>
    <w:rsid w:val="00EC3596"/>
    <w:rsid w:val="00EF01F3"/>
    <w:rsid w:val="00F70123"/>
    <w:rsid w:val="00F7331B"/>
    <w:rsid w:val="00FC3B80"/>
    <w:rsid w:val="00FD4777"/>
    <w:rsid w:val="00FE7220"/>
    <w:rsid w:val="1F427270"/>
    <w:rsid w:val="2EDB7E4B"/>
    <w:rsid w:val="322F1D96"/>
    <w:rsid w:val="3381781F"/>
    <w:rsid w:val="506E4589"/>
    <w:rsid w:val="70C57AF8"/>
    <w:rsid w:val="7D905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3"/>
    <w:basedOn w:val="1"/>
    <w:next w:val="1"/>
    <w:link w:val="17"/>
    <w:semiHidden/>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Body Text"/>
    <w:basedOn w:val="1"/>
    <w:next w:val="1"/>
    <w:qFormat/>
    <w:uiPriority w:val="99"/>
    <w:pPr>
      <w:spacing w:after="120"/>
    </w:pPr>
  </w:style>
  <w:style w:type="paragraph" w:styleId="4">
    <w:name w:val="Normal Indent"/>
    <w:basedOn w:val="1"/>
    <w:next w:val="2"/>
    <w:qFormat/>
    <w:uiPriority w:val="0"/>
    <w:pPr>
      <w:spacing w:before="60" w:after="60" w:line="440" w:lineRule="exact"/>
      <w:ind w:right="-8" w:rightChars="-4" w:firstLine="490" w:firstLineChars="204"/>
    </w:pPr>
    <w:rPr>
      <w:bCs/>
      <w:color w:val="000000"/>
      <w:sz w:val="24"/>
      <w:szCs w:val="20"/>
    </w:rPr>
  </w:style>
  <w:style w:type="paragraph" w:styleId="5">
    <w:name w:val="annotation text"/>
    <w:basedOn w:val="1"/>
    <w:qFormat/>
    <w:uiPriority w:val="0"/>
    <w:pPr>
      <w:jc w:val="left"/>
    </w:pPr>
  </w:style>
  <w:style w:type="paragraph" w:styleId="6">
    <w:name w:val="Plain Text"/>
    <w:basedOn w:val="1"/>
    <w:qFormat/>
    <w:uiPriority w:val="99"/>
    <w:rPr>
      <w:rFonts w:ascii="宋体" w:hAnsi="Courier New" w:cs="Courier New"/>
      <w:szCs w:val="21"/>
    </w:rPr>
  </w:style>
  <w:style w:type="paragraph" w:styleId="7">
    <w:name w:val="Balloon Text"/>
    <w:basedOn w:val="1"/>
    <w:link w:val="18"/>
    <w:semiHidden/>
    <w:unhideWhenUsed/>
    <w:qFormat/>
    <w:uiPriority w:val="99"/>
    <w:rPr>
      <w:sz w:val="18"/>
      <w:szCs w:val="18"/>
    </w:rPr>
  </w:style>
  <w:style w:type="paragraph" w:styleId="8">
    <w:name w:val="footer"/>
    <w:basedOn w:val="1"/>
    <w:link w:val="13"/>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12"/>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2">
    <w:name w:val="页眉 Char"/>
    <w:basedOn w:val="11"/>
    <w:link w:val="9"/>
    <w:qFormat/>
    <w:uiPriority w:val="99"/>
    <w:rPr>
      <w:sz w:val="18"/>
      <w:szCs w:val="18"/>
    </w:rPr>
  </w:style>
  <w:style w:type="character" w:customStyle="1" w:styleId="13">
    <w:name w:val="页脚 Char"/>
    <w:basedOn w:val="11"/>
    <w:link w:val="8"/>
    <w:qFormat/>
    <w:uiPriority w:val="99"/>
    <w:rPr>
      <w:sz w:val="18"/>
      <w:szCs w:val="18"/>
    </w:rPr>
  </w:style>
  <w:style w:type="paragraph" w:customStyle="1" w:styleId="14">
    <w:name w:val="一、（二级标题）"/>
    <w:qFormat/>
    <w:uiPriority w:val="0"/>
    <w:pPr>
      <w:widowControl w:val="0"/>
      <w:tabs>
        <w:tab w:val="left" w:pos="993"/>
        <w:tab w:val="left" w:pos="1276"/>
      </w:tabs>
      <w:wordWrap w:val="0"/>
      <w:ind w:firstLine="200" w:firstLineChars="200"/>
      <w:outlineLvl w:val="1"/>
    </w:pPr>
    <w:rPr>
      <w:rFonts w:ascii="Arial" w:hAnsi="Arial" w:eastAsia="黑体" w:cs="Times New Roman"/>
      <w:bCs/>
      <w:kern w:val="2"/>
      <w:sz w:val="28"/>
      <w:szCs w:val="32"/>
      <w:lang w:val="en-US" w:eastAsia="zh-CN" w:bidi="ar-SA"/>
    </w:rPr>
  </w:style>
  <w:style w:type="paragraph" w:customStyle="1" w:styleId="15">
    <w:name w:val="（一）正文标题"/>
    <w:basedOn w:val="3"/>
    <w:link w:val="16"/>
    <w:qFormat/>
    <w:uiPriority w:val="0"/>
    <w:pPr>
      <w:keepNext w:val="0"/>
      <w:keepLines w:val="0"/>
      <w:tabs>
        <w:tab w:val="left" w:pos="0"/>
        <w:tab w:val="left" w:pos="993"/>
        <w:tab w:val="left" w:pos="1134"/>
        <w:tab w:val="left" w:pos="1276"/>
        <w:tab w:val="left" w:pos="1418"/>
      </w:tabs>
      <w:wordWrap w:val="0"/>
      <w:spacing w:before="0" w:after="0" w:line="360" w:lineRule="auto"/>
      <w:ind w:firstLine="200" w:firstLineChars="200"/>
      <w:jc w:val="left"/>
    </w:pPr>
    <w:rPr>
      <w:rFonts w:ascii="仿宋_GB2312" w:hAnsi="仿宋_GB2312" w:eastAsia="楷体"/>
      <w:sz w:val="28"/>
      <w:szCs w:val="28"/>
    </w:rPr>
  </w:style>
  <w:style w:type="character" w:customStyle="1" w:styleId="16">
    <w:name w:val="（一）正文标题 Char"/>
    <w:basedOn w:val="11"/>
    <w:link w:val="15"/>
    <w:qFormat/>
    <w:uiPriority w:val="0"/>
    <w:rPr>
      <w:rFonts w:ascii="仿宋_GB2312" w:hAnsi="仿宋_GB2312" w:eastAsia="楷体" w:cs="Times New Roman"/>
      <w:b/>
      <w:bCs/>
      <w:kern w:val="2"/>
      <w:sz w:val="28"/>
      <w:szCs w:val="28"/>
    </w:rPr>
  </w:style>
  <w:style w:type="character" w:customStyle="1" w:styleId="17">
    <w:name w:val="标题 3 Char"/>
    <w:basedOn w:val="11"/>
    <w:link w:val="3"/>
    <w:semiHidden/>
    <w:qFormat/>
    <w:uiPriority w:val="9"/>
    <w:rPr>
      <w:rFonts w:ascii="Times New Roman" w:hAnsi="Times New Roman" w:eastAsia="宋体" w:cs="Times New Roman"/>
      <w:b/>
      <w:bCs/>
      <w:kern w:val="2"/>
      <w:sz w:val="32"/>
      <w:szCs w:val="32"/>
    </w:rPr>
  </w:style>
  <w:style w:type="character" w:customStyle="1" w:styleId="18">
    <w:name w:val="批注框文本 Char"/>
    <w:basedOn w:val="11"/>
    <w:link w:val="7"/>
    <w:semiHidden/>
    <w:qFormat/>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A2C878-7BE1-4AFF-B79B-F4CCB6C7230B}">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6</Pages>
  <Words>796</Words>
  <Characters>4540</Characters>
  <Lines>37</Lines>
  <Paragraphs>10</Paragraphs>
  <TotalTime>353</TotalTime>
  <ScaleCrop>false</ScaleCrop>
  <LinksUpToDate>false</LinksUpToDate>
  <CharactersWithSpaces>5326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2023-02-16T08:37:00Z</dcterms:created>
  <dc:creator>微软用户</dc:creator>
  <cp:lastModifiedBy>刘伟</cp:lastModifiedBy>
  <dcterms:modified xsi:type="dcterms:W3CDTF">2023-04-03T03:04:17Z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1A71C75E097F47EBAEEA59A02A7EE547</vt:lpwstr>
  </property>
</Properties>
</file>