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commentRangeStart w:id="9"/>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commentRangeEnd w:id="9"/>
      <w:r>
        <w:commentReference w:id="9"/>
      </w:r>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p>
    <w:p w14:paraId="3D7D1F0F">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commentRangeStart w:id="6"/>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commentRangeEnd w:id="6"/>
      <w:r>
        <w:commentReference w:id="6"/>
      </w:r>
    </w:p>
    <w:p w14:paraId="364AE8F7">
      <w:commentRangeStart w:id="5"/>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commentRangeEnd w:id="5"/>
      <w:r>
        <w:commentReference w:id="5"/>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commentRangeStart w:id="10"/>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commentRangeEnd w:id="10"/>
      <w:r>
        <w:commentReference w:id="10"/>
      </w:r>
    </w:p>
    <w:p w14:paraId="2E487CFA">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p>
    <w:p w14:paraId="2DEF3E04">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p>
    <w:p w14:paraId="0BDC3CE8">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p>
    <w:p w14:paraId="740EE8BD">
      <w:commentRangeStart w:id="8"/>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commentRangeEnd w:id="8"/>
      <w:r>
        <w:commentReference w:id="8"/>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commentRangeStart w:id="7"/>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commentRangeEnd w:id="7"/>
      <w:r>
        <w:commentReference w:id="7"/>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1T06:24:06Z">
    <w:p>
      <w:r>
        <w:t>[MEDIUM] 重大安全事故违约金比例空白
问题：条款6.4.1约定重大安全事故违约金，但比例空白，责任范围不明确
依据：根据原文“乙方在服务过程中由于乙方原因出现重大安全责任事故的，乙方应向甲方支付合同总额 ％的违约金；”，违约责任与赔偿机制存在需要进一步人工审核的风险点。
建议：补充明确违约金比例（如10%-20%），并定义“重大安全责任事故”（符合国家相关等级标准）</w:t>
      </w:r>
    </w:p>
  </w:comment>
  <w:comment w:id="6" w:author="合同审查系统" w:date="2026-03-11T06:24:06Z">
    <w:p>
      <w:r>
        <w:t>[MEDIUM] 服务质量要求模糊
问题：条款6.3约定“周到、及时服务”需支付违约金，但无具体衡量标准
依据：根据原文“乙方未能按本合同约定要求提供周到、及时服务，应向甲方承担违约责任，应向甲方支付违约金，即合同总额 5 %。”，违约责任与赔偿机制存在需要进一步人工审核的风险点。
建议：补充“周到、及时服务”的具体标准（如响应时间、交付物符合约定等），明确违约触发条件</w:t>
      </w:r>
    </w:p>
  </w:comment>
  <w:comment w:id="7" w:author="合同审查系统" w:date="2026-03-11T06:24:06Z">
    <w:p>
      <w:r>
        <w:t>[HIGH] 根本性变化定义模糊且退款不合理
问题：条款11.6.1“根本性变化”无界定，且要求退还全部已付款未考虑乙方已完成工作
依据：根据原文“在合同履行过程中，实际情况发生根本性变化，直接导致乙方不能全部或部分执行项目时，乙方应当立即通知甲方。双方应在甲方收到通…”，解除、终止与续约机制存在需要进一步人工审核的风险点。
建议：1. 明确“根本性变化”情形（如政策法规调整导致项目无法实施）；2. 按实际完成工作量比例退款，而非全额</w:t>
      </w:r>
    </w:p>
  </w:comment>
  <w:comment w:id="8" w:author="合同审查系统" w:date="2026-03-11T06:24:06Z">
    <w:p>
      <w:r>
        <w:t>[MEDIUM] 管辖地为甲方所在地增加成本
问题：条款10.2约定争议由甲方所在地法院管辖，供应商需承担额外诉讼成本
依据：根据原文“1. 依法向甲方所在地人民法院起诉；”，争议解决、适用法律与管辖存在需要进一步人工审核的风险点。
建议：协商调整为供应商所在地法院或共同认可的第三方地点，或约定仲裁管辖</w:t>
      </w:r>
    </w:p>
  </w:comment>
  <w:comment w:id="9" w:author="合同审查系统" w:date="2026-03-11T06:24:06Z">
    <w:p>
      <w:r>
        <w:t>[MEDIUM] 人员参保主体与乙方不一致
问题：条款2.u1要求人员在“投标单位”参保，但乙方收款账户为浙江永鼎律师事务所，主体可能不一致
依据：根据原文“注：以上人员均要求在投标单位正常参保。"、"户名： 浙江永鼎律师事务所”，主体资格与签约权限存在需要进一步人工审核的风险点。
建议：将“投标单位”修改为“乙方（供应商）”，明确参保主体为乙方</w:t>
      </w:r>
    </w:p>
  </w:comment>
  <w:comment w:id="10" w:author="合同审查系统" w:date="2026-03-11T06:24:06Z">
    <w:p>
      <w:r>
        <w:t>[MEDIUM] 未明确乙方自有知识产权归属
问题：条款7.1约定项目所有成果归甲方，但未明确乙方自有知识产权（如评估模型）的归属
依据：知识产权归属与使用权相关条款存在缺失、留白或约定不明确，当前文本不足以支撑稳定履约与争议处理。
建议：补充约定乙方自有知识产权仍归乙方，仅授权甲方本项目使用；明确甲方仅享有项目成果的本项目使用权</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