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OVERVIEW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mwBTfreddy dataset is a dataset that was developed by </w:t>
      </w:r>
      <w:hyperlink r:id="rId6">
        <w:r w:rsidDel="00000000" w:rsidR="00000000" w:rsidRPr="00000000">
          <w:rPr>
            <w:color w:val="1155cc"/>
            <w:u w:val="single"/>
            <w:rtl w:val="0"/>
          </w:rPr>
          <w:t xml:space="preserve">Kuyesera AI Lab</w:t>
        </w:r>
      </w:hyperlink>
      <w:r w:rsidDel="00000000" w:rsidR="00000000" w:rsidRPr="00000000">
        <w:rPr>
          <w:rtl w:val="0"/>
        </w:rPr>
        <w:t xml:space="preserve"> to aid in evaluating flash flood damage in urban areas of Malawi, with a particular focus on the aftermath of Cyclone Freddy in 2023. This dataset includes paired satellite images taken before and after the disaster and accompanying these images are JSON files containing annotated building data, detailing geographic coordinates and categorizing damage levels as no damage, minor, major, or destroyed.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repository comprises supporting files (KML files and scripts) used in the dataset creation process. The dataset is distributed as a compressed .zip file containing the images and corresponding JSON files, and can be accessed from </w:t>
      </w:r>
      <w:hyperlink r:id="rId7">
        <w:r w:rsidDel="00000000" w:rsidR="00000000" w:rsidRPr="00000000">
          <w:rPr>
            <w:color w:val="1155cc"/>
            <w:u w:val="single"/>
            <w:rtl w:val="0"/>
          </w:rPr>
          <w:t xml:space="preserve">Zenodo</w:t>
        </w:r>
      </w:hyperlink>
      <w:r w:rsidDel="00000000" w:rsidR="00000000" w:rsidRPr="00000000">
        <w:rPr>
          <w:rtl w:val="0"/>
        </w:rPr>
        <w:t xml:space="preserve">. The full datasheet is available on </w:t>
      </w:r>
      <w:hyperlink r:id="rId8">
        <w:r w:rsidDel="00000000" w:rsidR="00000000" w:rsidRPr="00000000">
          <w:rPr>
            <w:color w:val="1155cc"/>
            <w:u w:val="single"/>
            <w:rtl w:val="0"/>
          </w:rPr>
          <w:t xml:space="preserve">arXiv</w:t>
        </w:r>
      </w:hyperlink>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SCRIPTS</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table below provides an overview of the scripts used in the data creation process, detailing the description, inputs, and outputs of each script.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tl w:val="0"/>
        </w:rPr>
        <w:t xml:space="preserve">Table 1. Dataset Preparation Scripts</w:t>
      </w:r>
    </w:p>
    <w:p w:rsidR="00000000" w:rsidDel="00000000" w:rsidP="00000000" w:rsidRDefault="00000000" w:rsidRPr="00000000" w14:paraId="0000000C">
      <w:pPr>
        <w:rPr>
          <w:b w:val="1"/>
        </w:rPr>
      </w:pPr>
      <w:r w:rsidDel="00000000" w:rsidR="00000000" w:rsidRPr="00000000">
        <w:rPr>
          <w:rtl w:val="0"/>
        </w:rPr>
      </w:r>
    </w:p>
    <w:tbl>
      <w:tblPr>
        <w:tblStyle w:val="Table1"/>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1860"/>
        <w:gridCol w:w="3015"/>
        <w:gridCol w:w="1860"/>
        <w:gridCol w:w="1860"/>
        <w:tblGridChange w:id="0">
          <w:tblGrid>
            <w:gridCol w:w="705"/>
            <w:gridCol w:w="1860"/>
            <w:gridCol w:w="3015"/>
            <w:gridCol w:w="1860"/>
            <w:gridCol w:w="1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generating_gridlines.py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Generates grid lines overlapping each focus area (Chirimba, Chilobwe, and Ndirande) to systematically divide the imagery into contiguous, non-overlapping tiles.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Coordinates for each focus area (see Table II below).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KML files for each focus 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cropping_images.py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Crops and resizes satellite images using polygon coordinates from georeferenced .points files. The script removes irrelevant content while preserving geolocation metadata.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Georeferenced .points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Cropped and resized .tiff images.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renaming_tiff_images.py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Renames cropped images using the xBD naming convention and creates a record of the renaming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Cropped .tiff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Renamed .tiff images.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converting_geocoordinates_to_csv.py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Extracts building coordinates from labeled polygons and generates a CSV file for each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QGIS project files containing building labels.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CSV files with labeled building coordinates.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csv_to_json.py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Converts CSV files with polygon data (map and pixel coordinates) into JSON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CSV files containing polygon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JSON files formatted for use with the dataset.</w:t>
            </w:r>
          </w:p>
        </w:tc>
      </w:tr>
    </w:tbl>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ind w:left="0" w:firstLine="0"/>
        <w:jc w:val="center"/>
        <w:rPr/>
      </w:pPr>
      <w:r w:rsidDel="00000000" w:rsidR="00000000" w:rsidRPr="00000000">
        <w:rPr>
          <w:b w:val="1"/>
          <w:rtl w:val="0"/>
        </w:rPr>
        <w:t xml:space="preserve">Table II. Image Counts and Coordinates of the Selected Areas</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5460"/>
        <w:gridCol w:w="1170"/>
        <w:tblGridChange w:id="0">
          <w:tblGrid>
            <w:gridCol w:w="2010"/>
            <w:gridCol w:w="5460"/>
            <w:gridCol w:w="1170"/>
          </w:tblGrid>
        </w:tblGridChange>
      </w:tblGrid>
      <w:tr>
        <w:trPr>
          <w:cantSplit w:val="0"/>
          <w:trHeight w:val="50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COORDINATES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NO. IMAGES</w:t>
            </w:r>
          </w:p>
        </w:tc>
      </w:tr>
      <w:tr>
        <w:trPr>
          <w:cantSplit w:val="0"/>
          <w:trHeight w:val="12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CHIRIMBA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rPr/>
            </w:pPr>
            <w:r w:rsidDel="00000000" w:rsidR="00000000" w:rsidRPr="00000000">
              <w:rPr>
                <w:rtl w:val="0"/>
              </w:rPr>
              <w:t xml:space="preserve">35.06135646185926,-15.7455674468705</w:t>
            </w:r>
          </w:p>
          <w:p w:rsidR="00000000" w:rsidDel="00000000" w:rsidP="00000000" w:rsidRDefault="00000000" w:rsidRPr="00000000" w14:paraId="00000035">
            <w:pPr>
              <w:spacing w:line="240" w:lineRule="auto"/>
              <w:rPr/>
            </w:pPr>
            <w:r w:rsidDel="00000000" w:rsidR="00000000" w:rsidRPr="00000000">
              <w:rPr>
                <w:rtl w:val="0"/>
              </w:rPr>
              <w:t xml:space="preserve"> 35.0630140330653,-15.74401809140623</w:t>
            </w:r>
          </w:p>
          <w:p w:rsidR="00000000" w:rsidDel="00000000" w:rsidP="00000000" w:rsidRDefault="00000000" w:rsidRPr="00000000" w14:paraId="00000036">
            <w:pPr>
              <w:spacing w:line="240" w:lineRule="auto"/>
              <w:rPr/>
            </w:pPr>
            <w:r w:rsidDel="00000000" w:rsidR="00000000" w:rsidRPr="00000000">
              <w:rPr>
                <w:rtl w:val="0"/>
              </w:rPr>
              <w:t xml:space="preserve"> 35.0606258243407,-15.74217357016835</w:t>
            </w:r>
          </w:p>
          <w:p w:rsidR="00000000" w:rsidDel="00000000" w:rsidP="00000000" w:rsidRDefault="00000000" w:rsidRPr="00000000" w14:paraId="00000037">
            <w:pPr>
              <w:spacing w:line="240" w:lineRule="auto"/>
              <w:rPr/>
            </w:pPr>
            <w:r w:rsidDel="00000000" w:rsidR="00000000" w:rsidRPr="00000000">
              <w:rPr>
                <w:rtl w:val="0"/>
              </w:rPr>
              <w:t xml:space="preserve"> 35.05878123267473,-15.74352129840774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NDIRANDE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240" w:lineRule="auto"/>
              <w:rPr/>
            </w:pPr>
            <w:r w:rsidDel="00000000" w:rsidR="00000000" w:rsidRPr="00000000">
              <w:rPr>
                <w:rtl w:val="0"/>
              </w:rPr>
              <w:t xml:space="preserve">35.04990122048631,-15.76751173684101</w:t>
            </w:r>
          </w:p>
          <w:p w:rsidR="00000000" w:rsidDel="00000000" w:rsidP="00000000" w:rsidRDefault="00000000" w:rsidRPr="00000000" w14:paraId="0000003B">
            <w:pPr>
              <w:spacing w:line="240" w:lineRule="auto"/>
              <w:rPr/>
            </w:pPr>
            <w:r w:rsidDel="00000000" w:rsidR="00000000" w:rsidRPr="00000000">
              <w:rPr>
                <w:rtl w:val="0"/>
              </w:rPr>
              <w:t xml:space="preserve">35.04753585118715,-15.76823081389567</w:t>
            </w:r>
          </w:p>
          <w:p w:rsidR="00000000" w:rsidDel="00000000" w:rsidP="00000000" w:rsidRDefault="00000000" w:rsidRPr="00000000" w14:paraId="0000003C">
            <w:pPr>
              <w:spacing w:line="240" w:lineRule="auto"/>
              <w:rPr/>
            </w:pPr>
            <w:r w:rsidDel="00000000" w:rsidR="00000000" w:rsidRPr="00000000">
              <w:rPr>
                <w:rtl w:val="0"/>
              </w:rPr>
              <w:t xml:space="preserve">35.05147913477497,-15.7744571861299</w:t>
            </w:r>
          </w:p>
          <w:p w:rsidR="00000000" w:rsidDel="00000000" w:rsidP="00000000" w:rsidRDefault="00000000" w:rsidRPr="00000000" w14:paraId="0000003D">
            <w:pPr>
              <w:spacing w:line="240" w:lineRule="auto"/>
              <w:rPr/>
            </w:pPr>
            <w:r w:rsidDel="00000000" w:rsidR="00000000" w:rsidRPr="00000000">
              <w:rPr>
                <w:rtl w:val="0"/>
              </w:rPr>
              <w:t xml:space="preserve">35.05471668399898,-15.77301319505322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CHILOBWE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rPr/>
            </w:pPr>
            <w:r w:rsidDel="00000000" w:rsidR="00000000" w:rsidRPr="00000000">
              <w:rPr>
                <w:rtl w:val="0"/>
              </w:rPr>
              <w:t xml:space="preserve">35.00004428168152, -15.82503923829606</w:t>
            </w:r>
          </w:p>
          <w:p w:rsidR="00000000" w:rsidDel="00000000" w:rsidP="00000000" w:rsidRDefault="00000000" w:rsidRPr="00000000" w14:paraId="00000041">
            <w:pPr>
              <w:spacing w:line="240" w:lineRule="auto"/>
              <w:rPr/>
            </w:pPr>
            <w:r w:rsidDel="00000000" w:rsidR="00000000" w:rsidRPr="00000000">
              <w:rPr>
                <w:rtl w:val="0"/>
              </w:rPr>
              <w:t xml:space="preserve">35.04009739154355, -15.82507457317074</w:t>
            </w:r>
          </w:p>
          <w:p w:rsidR="00000000" w:rsidDel="00000000" w:rsidP="00000000" w:rsidRDefault="00000000" w:rsidRPr="00000000" w14:paraId="00000042">
            <w:pPr>
              <w:spacing w:line="240" w:lineRule="auto"/>
              <w:rPr/>
            </w:pPr>
            <w:r w:rsidDel="00000000" w:rsidR="00000000" w:rsidRPr="00000000">
              <w:rPr>
                <w:rtl w:val="0"/>
              </w:rPr>
              <w:t xml:space="preserve">35.04012666318832, -15.85010734237624</w:t>
            </w:r>
          </w:p>
          <w:p w:rsidR="00000000" w:rsidDel="00000000" w:rsidP="00000000" w:rsidRDefault="00000000" w:rsidRPr="00000000" w14:paraId="00000043">
            <w:pPr>
              <w:spacing w:line="240" w:lineRule="auto"/>
              <w:rPr/>
            </w:pPr>
            <w:r w:rsidDel="00000000" w:rsidR="00000000" w:rsidRPr="00000000">
              <w:rPr>
                <w:rtl w:val="0"/>
              </w:rPr>
              <w:t xml:space="preserve">35.00015291121928, -15.85003454786558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1026</w:t>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NOTES</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Users are encouraged to read the </w:t>
      </w:r>
      <w:hyperlink r:id="rId9">
        <w:r w:rsidDel="00000000" w:rsidR="00000000" w:rsidRPr="00000000">
          <w:rPr>
            <w:color w:val="1155cc"/>
            <w:u w:val="single"/>
            <w:rtl w:val="0"/>
          </w:rPr>
          <w:t xml:space="preserve">datasheet</w:t>
        </w:r>
      </w:hyperlink>
      <w:r w:rsidDel="00000000" w:rsidR="00000000" w:rsidRPr="00000000">
        <w:rPr>
          <w:rtl w:val="0"/>
        </w:rPr>
        <w:t xml:space="preserve"> for complete documentation on data creation, and usage guidelines.</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Install all required dependencies from the requirements file before running the scripts.</w:t>
      </w:r>
    </w:p>
    <w:p w:rsidR="00000000" w:rsidDel="00000000" w:rsidP="00000000" w:rsidRDefault="00000000" w:rsidRPr="00000000" w14:paraId="0000004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abs/2505.01242" TargetMode="External"/><Relationship Id="rId5" Type="http://schemas.openxmlformats.org/officeDocument/2006/relationships/styles" Target="styles.xml"/><Relationship Id="rId6" Type="http://schemas.openxmlformats.org/officeDocument/2006/relationships/hyperlink" Target="https://kailab.tech/" TargetMode="External"/><Relationship Id="rId7" Type="http://schemas.openxmlformats.org/officeDocument/2006/relationships/hyperlink" Target="https://zenodo.org/records/14190390" TargetMode="External"/><Relationship Id="rId8" Type="http://schemas.openxmlformats.org/officeDocument/2006/relationships/hyperlink" Target="https://arxiv.org/abs/2505.012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