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docs/full_code_reference.md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（皇冠多者胜；皇冠相同则存活塔最低血量%更低者输；</w:t>
      </w:r>
      <w:r>
        <w:rPr>
          <w:rFonts w:ascii="Consolas" w:hAnsi="Consolas" w:eastAsia="Consolas"/>
          <w:color w:val="B03000"/>
          <w:sz w:val="20"/>
        </w:rPr>
        <w:t>rl/run_league.py:179-210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</w:t>
      </w:r>
      <w:r>
        <w:rPr>
          <w:rFonts w:ascii="微软雅黑" w:hAnsi="微软雅黑" w:eastAsia="微软雅黑"/>
          <w:b w:val="0"/>
          <w:sz w:val="21"/>
        </w:rPr>
        <w:t xml:space="preserve"> 且每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</w:t>
      </w:r>
      <w:r>
        <w:rPr>
          <w:rFonts w:ascii="Consolas" w:hAnsi="Consolas" w:eastAsia="Consolas"/>
          <w:color w:val="B03000"/>
          <w:sz w:val="20"/>
        </w:rPr>
        <w:t>train_solo.py:1545-1547</w:t>
      </w:r>
      <w:r>
        <w:rPr>
          <w:rFonts w:ascii="微软雅黑" w:hAnsi="微软雅黑" w:eastAsia="微软雅黑"/>
          <w:b w:val="0"/>
          <w:sz w:val="21"/>
        </w:rPr>
        <w:t xml:space="preserve">；常量与探针 </w:t>
      </w:r>
      <w:r>
        <w:rPr>
          <w:rFonts w:ascii="Consolas" w:hAnsi="Consolas" w:eastAsia="Consolas"/>
          <w:color w:val="B03000"/>
          <w:sz w:val="20"/>
        </w:rPr>
        <w:t>rl/run_league.py:145-146,252-265</w:t>
      </w:r>
      <w:r>
        <w:rPr>
          <w:rFonts w:ascii="微软雅黑" w:hAnsi="微软雅黑" w:eastAsia="微软雅黑"/>
          <w:b w:val="0"/>
          <w:sz w:val="21"/>
        </w:rPr>
        <w:t xml:space="preserve">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train_solo.py:1552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rl/run_league.py:213-249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训练环僵局早停判平（连续 100 步零塔血变化）；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C'：早停局皇冠相同时，塔血%最低差 &lt; 该阈值 → 记平局（去掷硬币级标签）；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=退化为旧行为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161-167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数字 / </w:t>
            </w:r>
            <w:r>
              <w:rPr>
                <w:rFonts w:ascii="Consolas" w:hAnsi="Consolas" w:eastAsia="Consolas"/>
                <w:color w:val="B03000"/>
                <w:sz w:val="17"/>
              </w:rPr>
              <w:t>{"rel": "&gt;="|"&lt;=", "frac": float}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 xml:space="preserve"> 是同值的副本（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关闭训练环僵局早停（关=旧行为拖满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1265-1266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0.05</w:t>
      </w:r>
      <w:r>
        <w:rPr>
          <w:rFonts w:ascii="微软雅黑" w:hAnsi="微软雅黑" w:eastAsia="微软雅黑"/>
          <w:b w:val="0"/>
          <w:sz w:val="21"/>
        </w:rPr>
        <w:t xml:space="preserve">，rl/config.py:168），其纯函数内核是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rl/config.py:168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早停局低置信裁定降噪阈值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rl/train_solo.py:398-401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|·| 均值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</w:t>
            </w:r>
            <w:r>
              <w:rPr>
                <w:rFonts w:ascii="Consolas" w:hAnsi="Consolas" w:eastAsia="Consolas"/>
                <w:color w:val="B03000"/>
                <w:sz w:val="17"/>
              </w:rPr>
              <w:t>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|·| 均值（饱和判据）。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轮内估计判定曲线涨跌（|Δ|/SE≥2σ）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`full_code_reference.md`（full_code_reference.md）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docs/full_code_reference.md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