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extrn ExitProcess: proc, ; подключение внешних процедур ExitProcess и MessageBoxA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MessageBoxA: proc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.data ; описываем сегмент данных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caption db '64-bit hello!', 0 ; создаем глобальную переменную для названия нашего окна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message db 'Kuzichkin Pavel, 241st group', 0 ; глобальная переменная, отвечающая за сообщение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; выводимое в нашем окне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.code ; описываем сегмент кода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 proc ; точка входа - процедура Start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sub RSP, 8 * 5 ; устанавливаем смещение для 4-х аргументов, каждый из которых по 8 байт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; плюс 8 байт на адрес возврата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; блок выравнивания стека в соответствии с соглашением __fastcall для процедуры MessageBoxA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xor RCX, RCX ; передаем значение первого аргумента в процедуру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lea RDX, message ; передаем адрес на наше сообщение в процедуру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lea R8, caption ; передаем адрес на название окна, которое будет выведено на экран, в процедуру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xor R9, R9 ; передаем значение четвертого аргумента в процедуру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call MessageBoxA ; выполняем непосредственный вызов процедуры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; после вывода сообщения на экран, нам нужно задать аргумент в RCX для процедуры завершения процесса ExitProcess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xor RCX, RCX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call ExitProcess ; завершение процесса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Start endp ; конец процедуры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819275" cy="128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