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extrn GetUserNameA: proc,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GetComputerNameA: proc,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GetTempPathA: proc,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wsprintfA: proc,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MessageBoxA: proc,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ExitProcess: proc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caption db 'User info',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fmt db 'Username: %s', 0Ah,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'Computer Name: %s', 0Ah,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'TMP Path: %s',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szUNLEN equ 257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szMAX_COMP_NAME equ 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szMAX_PATH equ 261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 proc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local _msg[1024]:byte,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_username[szUNLEN]:byte,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_compname[szMAX_COMP_NAME]:byte,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_temppath[szMAX_PATH]:byte,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_size:dword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sub RSP, 8 *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and SPL, 0F0h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mov _size, szUNLEN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lea RCX, _username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lea RDX, _size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call GetUserNameA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 _size, szMAX_COMP_NAME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lea RCX, _compname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lea RDX, _size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call GetComputerNameA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mov _size, szMAX_PATH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lea RCX, _size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lea RDX, _temppath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call GetTempPathA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lea RCX, _msg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lea RDX, fmt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lea R8, _username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lea R9, _compname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lea R10, _temppath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mov qword ptr [rsp+ 20h], R10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call wsprintfA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xor RCX, RCX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xor R9, R9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lea RDX, _msg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lea R8, caption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call MessageBoxA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xor RCX, RCX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call ExitProcess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Start endp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