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Draft Specification &amp; Bulletin Industry Feedback Form</w:t>
      </w:r>
    </w:p>
    <w:p>
      <w:pPr>
        <w:spacing w:after="40"/>
      </w:pPr>
      <w:r>
        <w:rPr>
          <w:b/>
          <w:sz w:val="18"/>
        </w:rPr>
        <w:t xml:space="preserve">Document: </w:t>
      </w:r>
      <w:r>
        <w:rPr>
          <w:sz w:val="18"/>
        </w:rPr>
        <w:t>EMV® Agentic Payments – Framework for Specifications v1.0 DRAFT — comment period ends 30-Sept-2026</w:t>
      </w:r>
    </w:p>
    <w:p>
      <w:pPr>
        <w:spacing w:after="40"/>
      </w:pPr>
      <w:r>
        <w:rPr>
          <w:b/>
          <w:sz w:val="18"/>
        </w:rPr>
        <w:t xml:space="preserve">Company Name: </w:t>
      </w:r>
      <w:r>
        <w:rPr>
          <w:sz w:val="18"/>
        </w:rPr>
        <w:t>[Company name]</w:t>
      </w:r>
    </w:p>
    <w:p>
      <w:pPr>
        <w:spacing w:after="40"/>
      </w:pPr>
      <w:r>
        <w:rPr>
          <w:b/>
          <w:sz w:val="18"/>
        </w:rPr>
        <w:t xml:space="preserve">Primary Contact Name: </w:t>
      </w:r>
      <w:r>
        <w:rPr>
          <w:sz w:val="18"/>
        </w:rPr>
        <w:t>[Contact name, e-mail]</w:t>
      </w:r>
    </w:p>
    <w:p>
      <w:pPr>
        <w:spacing w:after="40"/>
      </w:pPr>
      <w:r>
        <w:rPr>
          <w:b/>
          <w:sz w:val="18"/>
        </w:rPr>
        <w:t xml:space="preserve">Working Group or Task Force: </w:t>
      </w:r>
      <w:r>
        <w:rPr>
          <w:sz w:val="18"/>
        </w:rPr>
        <w:t>General, Agentic Payments</w:t>
      </w:r>
    </w:p>
    <w:p>
      <w:pPr>
        <w:spacing w:after="40"/>
      </w:pPr>
      <w:r>
        <w:rPr>
          <w:b/>
          <w:sz w:val="18"/>
        </w:rPr>
        <w:t xml:space="preserve">Date: </w:t>
      </w:r>
      <w:r>
        <w:rPr>
          <w:sz w:val="18"/>
        </w:rPr>
        <w:t>[DD-Mon-2026]</w:t>
      </w:r>
    </w:p>
    <w:p/>
    <w:tbl>
      <w:tblPr>
        <w:tblStyle w:val="TableGrid"/>
        <w:tblW w:type="auto" w:w="0"/>
        <w:tblLook w:firstColumn="1" w:firstRow="1" w:lastColumn="0" w:lastRow="0" w:noHBand="0" w:noVBand="1" w:val="04A0"/>
      </w:tblPr>
      <w:tblGrid>
        <w:gridCol w:w="1810"/>
        <w:gridCol w:w="1810"/>
        <w:gridCol w:w="1810"/>
        <w:gridCol w:w="1810"/>
        <w:gridCol w:w="1810"/>
        <w:gridCol w:w="1810"/>
        <w:gridCol w:w="1810"/>
        <w:gridCol w:w="1810"/>
      </w:tblGrid>
      <w:tr>
        <w:tc>
          <w:tcPr>
            <w:tcW w:type="dxa" w:w="1810"/>
          </w:tcPr>
          <w:p>
            <w:r>
              <w:rPr>
                <w:b/>
                <w:sz w:val="16"/>
              </w:rPr>
              <w:t>EA/Sub</w:t>
            </w:r>
          </w:p>
        </w:tc>
        <w:tc>
          <w:tcPr>
            <w:tcW w:type="dxa" w:w="1810"/>
          </w:tcPr>
          <w:p>
            <w:r>
              <w:rPr>
                <w:b/>
                <w:sz w:val="16"/>
              </w:rPr>
              <w:t>Clause No./ Subclause No.</w:t>
            </w:r>
          </w:p>
        </w:tc>
        <w:tc>
          <w:tcPr>
            <w:tcW w:type="dxa" w:w="1810"/>
          </w:tcPr>
          <w:p>
            <w:r>
              <w:rPr>
                <w:b/>
                <w:sz w:val="16"/>
              </w:rPr>
              <w:t>Paragraph/ Figure/ Table/ Note</w:t>
            </w:r>
          </w:p>
        </w:tc>
        <w:tc>
          <w:tcPr>
            <w:tcW w:type="dxa" w:w="1810"/>
          </w:tcPr>
          <w:p>
            <w:r>
              <w:rPr>
                <w:b/>
                <w:sz w:val="16"/>
              </w:rPr>
              <w:t>Type of comment</w:t>
            </w:r>
          </w:p>
        </w:tc>
        <w:tc>
          <w:tcPr>
            <w:tcW w:type="dxa" w:w="1810"/>
          </w:tcPr>
          <w:p>
            <w:r>
              <w:rPr>
                <w:b/>
                <w:sz w:val="16"/>
              </w:rPr>
              <w:t>Comment (justification for change)</w:t>
            </w:r>
          </w:p>
        </w:tc>
        <w:tc>
          <w:tcPr>
            <w:tcW w:type="dxa" w:w="1810"/>
          </w:tcPr>
          <w:p>
            <w:r>
              <w:rPr>
                <w:b/>
                <w:sz w:val="16"/>
              </w:rPr>
              <w:t>Proposed change</w:t>
            </w:r>
          </w:p>
        </w:tc>
        <w:tc>
          <w:tcPr>
            <w:tcW w:type="dxa" w:w="1810"/>
          </w:tcPr>
          <w:p>
            <w:r>
              <w:rPr>
                <w:b/>
                <w:sz w:val="16"/>
              </w:rPr>
              <w:t>Status</w:t>
            </w:r>
          </w:p>
        </w:tc>
        <w:tc>
          <w:tcPr>
            <w:tcW w:type="dxa" w:w="1810"/>
          </w:tcPr>
          <w:p>
            <w:r>
              <w:rPr>
                <w:b/>
                <w:sz w:val="16"/>
              </w:rPr>
              <w:t>EMVCo observations</w:t>
            </w:r>
          </w:p>
        </w:tc>
      </w:tr>
      <w:tr>
        <w:tc>
          <w:tcPr>
            <w:tcW w:type="dxa" w:w="1810"/>
          </w:tcPr>
          <w:p>
            <w:r>
              <w:rPr>
                <w:sz w:val="16"/>
              </w:rPr>
              <w:t>—</w:t>
            </w:r>
          </w:p>
        </w:tc>
        <w:tc>
          <w:tcPr>
            <w:tcW w:type="dxa" w:w="1810"/>
          </w:tcPr>
          <w:p>
            <w:r>
              <w:rPr>
                <w:sz w:val="16"/>
              </w:rPr>
              <w:t>5.5</w:t>
            </w:r>
          </w:p>
        </w:tc>
        <w:tc>
          <w:tcPr>
            <w:tcW w:type="dxa" w:w="1810"/>
          </w:tcPr>
          <w:p>
            <w:r>
              <w:rPr>
                <w:sz w:val="16"/>
              </w:rPr>
              <w:t>paragraph on state coordination</w:t>
            </w:r>
          </w:p>
        </w:tc>
        <w:tc>
          <w:tcPr>
            <w:tcW w:type="dxa" w:w="1810"/>
          </w:tcPr>
          <w:p>
            <w:r>
              <w:rPr>
                <w:sz w:val="16"/>
              </w:rPr>
              <w:t>TE / MAJOR</w:t>
            </w:r>
          </w:p>
        </w:tc>
        <w:tc>
          <w:tcPr>
            <w:tcW w:type="dxa" w:w="1810"/>
          </w:tcPr>
          <w:p>
            <w:r>
              <w:rPr>
                <w:sz w:val="16"/>
              </w:rPr>
              <w:t>Framework states that coordination of state between Intent Service Providers is impractical and should be managed by the Agent. The Agent is the least trusted party in the model and is explicitly acknowledged (2.2) to be capable of producing unintended actions. Placing budget and recurrence state in the Agent creates a single point where constraint evaluation can be silently defeated.</w:t>
            </w:r>
          </w:p>
        </w:tc>
        <w:tc>
          <w:tcPr>
            <w:tcW w:type="dxa" w:w="1810"/>
          </w:tcPr>
          <w:p>
            <w:r>
              <w:rPr>
                <w:sz w:val="16"/>
              </w:rPr>
              <w:t>State required for stateful constraint evaluation should be held by a party other than the Agent (Intent Service Provider or the participant servicing the payer). Where multiple Intent Service Providers are involved, state ownership should be determined at delegation time and recorded in the Intent record.</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5.6, 4.3.5</w:t>
            </w:r>
          </w:p>
        </w:tc>
        <w:tc>
          <w:tcPr>
            <w:tcW w:type="dxa" w:w="1810"/>
          </w:tcPr>
          <w:p>
            <w:r>
              <w:rPr>
                <w:sz w:val="16"/>
              </w:rPr>
              <w:t>orders as units of fulfilment</w:t>
            </w:r>
          </w:p>
        </w:tc>
        <w:tc>
          <w:tcPr>
            <w:tcW w:type="dxa" w:w="1810"/>
          </w:tcPr>
          <w:p>
            <w:r>
              <w:rPr>
                <w:sz w:val="16"/>
              </w:rPr>
              <w:t>TE / MAJOR</w:t>
            </w:r>
          </w:p>
        </w:tc>
        <w:tc>
          <w:tcPr>
            <w:tcW w:type="dxa" w:w="1810"/>
          </w:tcPr>
          <w:p>
            <w:r>
              <w:rPr>
                <w:sz w:val="16"/>
              </w:rPr>
              <w:t>Orders are defined as units of fulfilment that may span several payment events, but the framework does not define what evidence records the outcome of an order, nor the minimum content of a fulfilment artefact. Without it, participants cannot compare what was authorised with what actually committed.</w:t>
            </w:r>
          </w:p>
        </w:tc>
        <w:tc>
          <w:tcPr>
            <w:tcW w:type="dxa" w:w="1810"/>
          </w:tcPr>
          <w:p>
            <w:r>
              <w:rPr>
                <w:sz w:val="16"/>
              </w:rPr>
              <w:t>Define the minimum content of a fulfilment record at order level (final values, constraint evaluation result, state position consumed, timestamp, binding reference) and state that it is produced by the party evaluating fulfilment, never by the Agent.</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6.7.6</w:t>
            </w:r>
          </w:p>
        </w:tc>
        <w:tc>
          <w:tcPr>
            <w:tcW w:type="dxa" w:w="1810"/>
          </w:tcPr>
          <w:p>
            <w:r>
              <w:rPr>
                <w:sz w:val="16"/>
              </w:rPr>
              <w:t>constraint evaluation modes</w:t>
            </w:r>
          </w:p>
        </w:tc>
        <w:tc>
          <w:tcPr>
            <w:tcW w:type="dxa" w:w="1810"/>
          </w:tcPr>
          <w:p>
            <w:r>
              <w:rPr>
                <w:sz w:val="16"/>
              </w:rPr>
              <w:t>TE / MAJOR</w:t>
            </w:r>
          </w:p>
        </w:tc>
        <w:tc>
          <w:tcPr>
            <w:tcW w:type="dxa" w:w="1810"/>
          </w:tcPr>
          <w:p>
            <w:r>
              <w:rPr>
                <w:sz w:val="16"/>
              </w:rPr>
              <w:t>Verifiers may skip an unknown constraint type in permissive mode. For payment constraints this makes the enforcement boundary dependent on verifier configuration, and an issuer and an acquirer may reach different conclusions on the same mandate.</w:t>
            </w:r>
          </w:p>
        </w:tc>
        <w:tc>
          <w:tcPr>
            <w:tcW w:type="dxa" w:w="1810"/>
          </w:tcPr>
          <w:p>
            <w:r>
              <w:rPr>
                <w:sz w:val="16"/>
              </w:rPr>
              <w:t>Make strict mode the default for payment constraints: an unrecognised constraint type in a payment mandate should cause rejection. Permissive handling, if retained, should be limited to non-payment constraint namespaces.</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5.4</w:t>
            </w:r>
          </w:p>
        </w:tc>
        <w:tc>
          <w:tcPr>
            <w:tcW w:type="dxa" w:w="1810"/>
          </w:tcPr>
          <w:p>
            <w:r>
              <w:rPr>
                <w:sz w:val="16"/>
              </w:rPr>
              <w:t>lifecycle categories / revocation</w:t>
            </w:r>
          </w:p>
        </w:tc>
        <w:tc>
          <w:tcPr>
            <w:tcW w:type="dxa" w:w="1810"/>
          </w:tcPr>
          <w:p>
            <w:r>
              <w:rPr>
                <w:sz w:val="16"/>
              </w:rPr>
              <w:t>TE / MAJOR</w:t>
            </w:r>
          </w:p>
        </w:tc>
        <w:tc>
          <w:tcPr>
            <w:tcW w:type="dxa" w:w="1810"/>
          </w:tcPr>
          <w:p>
            <w:r>
              <w:rPr>
                <w:sz w:val="16"/>
              </w:rPr>
              <w:t>REVOKED appears as a lifecycle category, but the framework does not state how revocation reaches participants that hold a valid credential chain. In autonomous mode a Layer 3 credential may remain cryptographically valid after the Consumer has revoked the Intent.</w:t>
            </w:r>
          </w:p>
        </w:tc>
        <w:tc>
          <w:tcPr>
            <w:tcW w:type="dxa" w:w="1810"/>
          </w:tcPr>
          <w:p>
            <w:r>
              <w:rPr>
                <w:sz w:val="16"/>
              </w:rPr>
              <w:t>State that revocation must be retrievable at execution time through Intent retrieval and that a verifier unable to confirm current lifecycle state should treat autonomous fulfilment as out of bounds, consistent with 6.7.6.</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1.2.1</w:t>
            </w:r>
          </w:p>
        </w:tc>
        <w:tc>
          <w:tcPr>
            <w:tcW w:type="dxa" w:w="1810"/>
          </w:tcPr>
          <w:p>
            <w:r>
              <w:rPr>
                <w:sz w:val="16"/>
              </w:rPr>
              <w:t>single payment credential</w:t>
            </w:r>
          </w:p>
        </w:tc>
        <w:tc>
          <w:tcPr>
            <w:tcW w:type="dxa" w:w="1810"/>
          </w:tcPr>
          <w:p>
            <w:r>
              <w:rPr>
                <w:sz w:val="16"/>
              </w:rPr>
              <w:t>TE / MAJOR</w:t>
            </w:r>
          </w:p>
        </w:tc>
        <w:tc>
          <w:tcPr>
            <w:tcW w:type="dxa" w:w="1810"/>
          </w:tcPr>
          <w:p>
            <w:r>
              <w:rPr>
                <w:sz w:val="16"/>
              </w:rPr>
              <w:t>Scope is limited to a single payment credential selected before execution. In markets where the payment instrument is chosen by the Consumer on a neutral payment page at execution time, the intent is authorised before the instrument is known.</w:t>
            </w:r>
          </w:p>
        </w:tc>
        <w:tc>
          <w:tcPr>
            <w:tcW w:type="dxa" w:w="1810"/>
          </w:tcPr>
          <w:p>
            <w:r>
              <w:rPr>
                <w:sz w:val="16"/>
              </w:rPr>
              <w:t>Allow the Payment Mandate to reference an instrument class or a payer-side selection point rather than a specific credential, with the concrete credential resolved at execution under the same constraints.</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3</w:t>
            </w:r>
          </w:p>
        </w:tc>
        <w:tc>
          <w:tcPr>
            <w:tcW w:type="dxa" w:w="1810"/>
          </w:tcPr>
          <w:p>
            <w:r>
              <w:rPr>
                <w:sz w:val="16"/>
              </w:rPr>
              <w:t>KYA future concepts list</w:t>
            </w:r>
          </w:p>
        </w:tc>
        <w:tc>
          <w:tcPr>
            <w:tcW w:type="dxa" w:w="1810"/>
          </w:tcPr>
          <w:p>
            <w:r>
              <w:rPr>
                <w:sz w:val="16"/>
              </w:rPr>
              <w:t>TE / MINOR</w:t>
            </w:r>
          </w:p>
        </w:tc>
        <w:tc>
          <w:tcPr>
            <w:tcW w:type="dxa" w:w="1810"/>
          </w:tcPr>
          <w:p>
            <w:r>
              <w:rPr>
                <w:sz w:val="16"/>
              </w:rPr>
              <w:t>The KYA agenda lists identifiers, version and model identification and registry references, but not behavioural attributes accumulated from past fulfilments. Without them, identification cannot support the risk evaluation the section claims as a purpose.</w:t>
            </w:r>
          </w:p>
        </w:tc>
        <w:tc>
          <w:tcPr>
            <w:tcW w:type="dxa" w:w="1810"/>
          </w:tcPr>
          <w:p>
            <w:r>
              <w:rPr>
                <w:sz w:val="16"/>
              </w:rPr>
              <w:t>Add execution history attributes (constraint breaches, dispute rate, revocation events) as a candidate KYA element, sourced from fulfilment records and exposed at a level appropriate to the requesting role.</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8</w:t>
            </w:r>
          </w:p>
        </w:tc>
        <w:tc>
          <w:tcPr>
            <w:tcW w:type="dxa" w:w="1810"/>
          </w:tcPr>
          <w:p>
            <w:r>
              <w:rPr>
                <w:sz w:val="16"/>
              </w:rPr>
              <w:t>indicator content</w:t>
            </w:r>
          </w:p>
        </w:tc>
        <w:tc>
          <w:tcPr>
            <w:tcW w:type="dxa" w:w="1810"/>
          </w:tcPr>
          <w:p>
            <w:r>
              <w:rPr>
                <w:sz w:val="16"/>
              </w:rPr>
              <w:t>TE / MINOR</w:t>
            </w:r>
          </w:p>
        </w:tc>
        <w:tc>
          <w:tcPr>
            <w:tcW w:type="dxa" w:w="1810"/>
          </w:tcPr>
          <w:p>
            <w:r>
              <w:rPr>
                <w:sz w:val="16"/>
              </w:rPr>
              <w:t>Indicators are described as signalling the presence of an agent. A flag alone does not allow a downstream participant, especially at dispute time, to locate the intent and fulfilment evidence.</w:t>
            </w:r>
          </w:p>
        </w:tc>
        <w:tc>
          <w:tcPr>
            <w:tcW w:type="dxa" w:w="1810"/>
          </w:tcPr>
          <w:p>
            <w:r>
              <w:rPr>
                <w:sz w:val="16"/>
              </w:rPr>
              <w:t>Reserve in the indicator a reference to the Intent record and, where present, to the fulfilment artefact, in addition to the presence flag.</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2.5, 5.1</w:t>
            </w:r>
          </w:p>
        </w:tc>
        <w:tc>
          <w:tcPr>
            <w:tcW w:type="dxa" w:w="1810"/>
          </w:tcPr>
          <w:p>
            <w:r>
              <w:rPr>
                <w:sz w:val="16"/>
              </w:rPr>
              <w:t>role boundaries</w:t>
            </w:r>
          </w:p>
        </w:tc>
        <w:tc>
          <w:tcPr>
            <w:tcW w:type="dxa" w:w="1810"/>
          </w:tcPr>
          <w:p>
            <w:r>
              <w:rPr>
                <w:sz w:val="16"/>
              </w:rPr>
              <w:t>GE</w:t>
            </w:r>
          </w:p>
        </w:tc>
        <w:tc>
          <w:tcPr>
            <w:tcW w:type="dxa" w:w="1810"/>
          </w:tcPr>
          <w:p>
            <w:r>
              <w:rPr>
                <w:sz w:val="16"/>
              </w:rPr>
              <w:t>The framework states that the Intent Service does not make authorisation decisions, but also that it may expose constraint indicators used in fulfilment validation. The boundary between exposing and evaluating is not stated.</w:t>
            </w:r>
          </w:p>
        </w:tc>
        <w:tc>
          <w:tcPr>
            <w:tcW w:type="dxa" w:w="1810"/>
          </w:tcPr>
          <w:p>
            <w:r>
              <w:rPr>
                <w:sz w:val="16"/>
              </w:rPr>
              <w:t>State explicitly that evaluation of fulfilment against constraints is a responsibility of the participant processing the payment, and that the Intent Service neither evaluates nor advises on the outcome.</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4.1.2</w:t>
            </w:r>
          </w:p>
        </w:tc>
        <w:tc>
          <w:tcPr>
            <w:tcW w:type="dxa" w:w="1810"/>
          </w:tcPr>
          <w:p>
            <w:r>
              <w:rPr>
                <w:sz w:val="16"/>
              </w:rPr>
              <w:t>prompt summary</w:t>
            </w:r>
          </w:p>
        </w:tc>
        <w:tc>
          <w:tcPr>
            <w:tcW w:type="dxa" w:w="1810"/>
          </w:tcPr>
          <w:p>
            <w:r>
              <w:rPr>
                <w:sz w:val="16"/>
              </w:rPr>
              <w:t>GE</w:t>
            </w:r>
          </w:p>
        </w:tc>
        <w:tc>
          <w:tcPr>
            <w:tcW w:type="dxa" w:w="1810"/>
          </w:tcPr>
          <w:p>
            <w:r>
              <w:rPr>
                <w:sz w:val="16"/>
              </w:rPr>
              <w:t>The prompt summary is a useful accountability artefact, but its status is unclear: it is neither a constraint nor evidence, yet it may contain sensitive consumer information.</w:t>
            </w:r>
          </w:p>
        </w:tc>
        <w:tc>
          <w:tcPr>
            <w:tcW w:type="dxa" w:w="1810"/>
          </w:tcPr>
          <w:p>
            <w:r>
              <w:rPr>
                <w:sz w:val="16"/>
              </w:rPr>
              <w:t>Clarify that the prompt summary is non-normative context, is not evaluated by verifiers, and should be disclosed only to the Consumer and to parties resolving a dispute.</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7, 8.1</w:t>
            </w:r>
          </w:p>
        </w:tc>
        <w:tc>
          <w:tcPr>
            <w:tcW w:type="dxa" w:w="1810"/>
          </w:tcPr>
          <w:p>
            <w:r>
              <w:rPr>
                <w:sz w:val="16"/>
              </w:rPr>
              <w:t>mapping to EMV technologies</w:t>
            </w:r>
          </w:p>
        </w:tc>
        <w:tc>
          <w:tcPr>
            <w:tcW w:type="dxa" w:w="1810"/>
          </w:tcPr>
          <w:p>
            <w:r>
              <w:rPr>
                <w:sz w:val="16"/>
              </w:rPr>
              <w:t>GE</w:t>
            </w:r>
          </w:p>
        </w:tc>
        <w:tc>
          <w:tcPr>
            <w:tcW w:type="dxa" w:w="1810"/>
          </w:tcPr>
          <w:p>
            <w:r>
              <w:rPr>
                <w:sz w:val="16"/>
              </w:rPr>
              <w:t>The framework applies to card-based flows, while in several markets agentic payments will also run over account-to-account and code-based acceptance. A payments-layer framework that maps only to card message structures risks fragmenting the indicator at national level.</w:t>
            </w:r>
          </w:p>
        </w:tc>
        <w:tc>
          <w:tcPr>
            <w:tcW w:type="dxa" w:w="1810"/>
          </w:tcPr>
          <w:p>
            <w:r>
              <w:rPr>
                <w:sz w:val="16"/>
              </w:rPr>
              <w:t>State that the intent semantics are transport-agnostic and that mappings to non-card acceptance may be defined by other bodies without redefining the semantics.</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6</w:t>
            </w:r>
          </w:p>
        </w:tc>
        <w:tc>
          <w:tcPr>
            <w:tcW w:type="dxa" w:w="1810"/>
          </w:tcPr>
          <w:p>
            <w:r>
              <w:rPr>
                <w:sz w:val="16"/>
              </w:rPr>
              <w:t>section status</w:t>
            </w:r>
          </w:p>
        </w:tc>
        <w:tc>
          <w:tcPr>
            <w:tcW w:type="dxa" w:w="1810"/>
          </w:tcPr>
          <w:p>
            <w:r>
              <w:rPr>
                <w:sz w:val="16"/>
              </w:rPr>
              <w:t>ED</w:t>
            </w:r>
          </w:p>
        </w:tc>
        <w:tc>
          <w:tcPr>
            <w:tcW w:type="dxa" w:w="1810"/>
          </w:tcPr>
          <w:p>
            <w:r>
              <w:rPr>
                <w:sz w:val="16"/>
              </w:rPr>
              <w:t>Section 6 describes a v0.1 snapshot of an externally maintained mechanism. A reader may take the described structures as framework requirements.</w:t>
            </w:r>
          </w:p>
        </w:tc>
        <w:tc>
          <w:tcPr>
            <w:tcW w:type="dxa" w:w="1810"/>
          </w:tcPr>
          <w:p>
            <w:r>
              <w:rPr>
                <w:sz w:val="16"/>
              </w:rPr>
              <w:t>Mark section 6 as informative in the section heading and repeat the external-maintenance note at the start of each subsection that describes structures or field names.</w:t>
            </w:r>
          </w:p>
        </w:tc>
        <w:tc>
          <w:tcPr>
            <w:tcW w:type="dxa" w:w="1810"/>
          </w:tcPr>
          <w:p>
            <w:r>
              <w:rPr>
                <w:sz w:val="16"/>
              </w:rPr>
            </w:r>
          </w:p>
        </w:tc>
        <w:tc>
          <w:tcPr>
            <w:tcW w:type="dxa" w:w="1810"/>
          </w:tcPr>
          <w:p>
            <w:r>
              <w:rPr>
                <w:sz w:val="16"/>
              </w:rPr>
            </w:r>
          </w:p>
        </w:tc>
      </w:tr>
      <w:tr>
        <w:tc>
          <w:tcPr>
            <w:tcW w:type="dxa" w:w="1810"/>
          </w:tcPr>
          <w:p>
            <w:r>
              <w:rPr>
                <w:sz w:val="16"/>
              </w:rPr>
              <w:t>—</w:t>
            </w:r>
          </w:p>
        </w:tc>
        <w:tc>
          <w:tcPr>
            <w:tcW w:type="dxa" w:w="1810"/>
          </w:tcPr>
          <w:p>
            <w:r>
              <w:rPr>
                <w:sz w:val="16"/>
              </w:rPr>
              <w:t>1.6</w:t>
            </w:r>
          </w:p>
        </w:tc>
        <w:tc>
          <w:tcPr>
            <w:tcW w:type="dxa" w:w="1810"/>
          </w:tcPr>
          <w:p>
            <w:r>
              <w:rPr>
                <w:sz w:val="16"/>
              </w:rPr>
              <w:t>Table 1.2 Fulfilment</w:t>
            </w:r>
          </w:p>
        </w:tc>
        <w:tc>
          <w:tcPr>
            <w:tcW w:type="dxa" w:w="1810"/>
          </w:tcPr>
          <w:p>
            <w:r>
              <w:rPr>
                <w:sz w:val="16"/>
              </w:rPr>
              <w:t>ED</w:t>
            </w:r>
          </w:p>
        </w:tc>
        <w:tc>
          <w:tcPr>
            <w:tcW w:type="dxa" w:w="1810"/>
          </w:tcPr>
          <w:p>
            <w:r>
              <w:rPr>
                <w:sz w:val="16"/>
              </w:rPr>
              <w:t>The definition of Fulfilment in Table 1.2 is truncated and ends mid-sentence.</w:t>
            </w:r>
          </w:p>
        </w:tc>
        <w:tc>
          <w:tcPr>
            <w:tcW w:type="dxa" w:w="1810"/>
          </w:tcPr>
          <w:p>
            <w:r>
              <w:rPr>
                <w:sz w:val="16"/>
              </w:rPr>
              <w:t>Complete the definition and align it with 4.3.5.</w:t>
            </w:r>
          </w:p>
        </w:tc>
        <w:tc>
          <w:tcPr>
            <w:tcW w:type="dxa" w:w="1810"/>
          </w:tcPr>
          <w:p>
            <w:r>
              <w:rPr>
                <w:sz w:val="16"/>
              </w:rPr>
            </w:r>
          </w:p>
        </w:tc>
        <w:tc>
          <w:tcPr>
            <w:tcW w:type="dxa" w:w="1810"/>
          </w:tcPr>
          <w:p>
            <w:r>
              <w:rPr>
                <w:sz w:val="16"/>
              </w:rPr>
            </w:r>
          </w:p>
        </w:tc>
      </w:tr>
    </w:tbl>
    <w:p/>
    <w:p>
      <w:r>
        <w:rPr>
          <w:b/>
          <w:sz w:val="16"/>
        </w:rPr>
        <w:t xml:space="preserve">Notes: </w:t>
      </w:r>
      <w:r>
        <w:rPr>
          <w:sz w:val="16"/>
        </w:rPr>
        <w:t>ge = general, te = technical, ed = editorial; technical comments are marked MAJOR or MINOR. Comments 01–07 are illustrated in two enclosed annexes: Annex A (Annex-A-discussion-points.html) plays out each situation as a single transaction under the current draft and under the proposed change; Annex B (Annex-B-cost-model.html) is a parametric cost model comparing expected losses under the current draft with the business cost of the proposed stricter handling. Both annexes are self-contained HTML files that open in any web browser; figures in Annex B are illustrative assumptions, not forecasts.</w:t>
      </w:r>
    </w:p>
    <w:sectPr w:rsidR="00FC693F" w:rsidRPr="0006063C" w:rsidSect="00034616">
      <w:pgSz w:w="15840" w:h="12240"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