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sz w:val="26"/>
          <w:szCs w:val="26"/>
        </w:rPr>
        <w:t xml:space="preserve">CHI CỤC HẢI QUAN KHU VỰC VIII</w:t>
      </w:r>
    </w:p>
    <w:p>
      <w:pPr>
        <w:spacing w:after="200" w:before="0" w:line="276"/>
        <w:jc w:val="center"/>
      </w:pPr>
      <w:r>
        <w:rPr>
          <w:rFonts w:ascii="Times New Roman" w:cs="Times New Roman" w:eastAsia="Times New Roman" w:hAnsi="Times New Roman"/>
          <w:i/>
          <w:iCs/>
          <w:sz w:val="26"/>
          <w:szCs w:val="26"/>
        </w:rPr>
        <w:t xml:space="preserve">DỰ ÁN PHẦN MỀM TÍNH LƯƠNG HQKV8</w:t>
      </w:r>
    </w:p>
    <w:p>
      <w:pPr>
        <w:spacing w:after="60"/>
        <w:jc w:val="center"/>
      </w:pPr>
      <w:r>
        <w:rPr>
          <w:rFonts w:ascii="Times New Roman" w:cs="Times New Roman" w:eastAsia="Times New Roman" w:hAnsi="Times New Roman"/>
          <w:b/>
          <w:bCs/>
          <w:sz w:val="32"/>
          <w:szCs w:val="32"/>
        </w:rPr>
        <w:t xml:space="preserve">BÁO CÁO NGHIÊN CỨU NGHIỆP VỤ TÍNH LƯƠNG, THU NHẬP CÔNG CHỨC VÀ NGƯỜI LAO ĐỘNG</w:t>
      </w:r>
    </w:p>
    <w:p>
      <w:pPr>
        <w:spacing w:after="60" w:before="0" w:line="276"/>
        <w:jc w:val="center"/>
      </w:pPr>
      <w:r>
        <w:rPr>
          <w:rFonts w:ascii="Times New Roman" w:cs="Times New Roman" w:eastAsia="Times New Roman" w:hAnsi="Times New Roman"/>
          <w:i/>
          <w:iCs/>
          <w:sz w:val="26"/>
          <w:szCs w:val="26"/>
        </w:rPr>
        <w:t xml:space="preserve">(Kết quả phân tích Bảng lương tháng 8/2026 và 14 văn bản pháp lý trong thư mục làm việc — làm nền tảng thiết kế phần mềm)</w:t>
      </w:r>
    </w:p>
    <w:p>
      <w:pPr>
        <w:spacing w:after="240" w:before="0" w:line="276"/>
        <w:jc w:val="center"/>
      </w:pPr>
      <w:r>
        <w:rPr>
          <w:rFonts w:ascii="Times New Roman" w:cs="Times New Roman" w:eastAsia="Times New Roman" w:hAnsi="Times New Roman"/>
          <w:i/>
          <w:iCs/>
          <w:sz w:val="26"/>
          <w:szCs w:val="26"/>
        </w:rPr>
        <w:t xml:space="preserve">Phiên bản V1 — ngày 24/8/2026 · Người thực hiện: Trợ lý AI (phục vụ anh Bùi Quang Huy)</w:t>
      </w:r>
    </w:p>
    <w:p>
      <w:pPr>
        <w:pStyle w:val="Heading1"/>
        <w:spacing w:after="160" w:before="280"/>
      </w:pPr>
      <w:r>
        <w:rPr>
          <w:rFonts w:ascii="Times New Roman" w:cs="Times New Roman" w:eastAsia="Times New Roman" w:hAnsi="Times New Roman"/>
          <w:b/>
          <w:bCs/>
          <w:sz w:val="28"/>
          <w:szCs w:val="28"/>
        </w:rPr>
        <w:t xml:space="preserve">I. TỔNG QUAN HỒ SƠ ĐÃ NGHIÊN CỨU</w:t>
      </w:r>
    </w:p>
    <w:p>
      <w:pPr>
        <w:spacing w:after="120" w:before="0" w:line="276"/>
        <w:jc w:val="both"/>
      </w:pPr>
      <w:r>
        <w:rPr>
          <w:rFonts w:ascii="Times New Roman" w:cs="Times New Roman" w:eastAsia="Times New Roman" w:hAnsi="Times New Roman"/>
          <w:sz w:val="26"/>
          <w:szCs w:val="26"/>
        </w:rPr>
        <w:t xml:space="preserve">Thư mục làm việc gồm hai nhóm tư liệu. Nhóm thứ nhất là file "1.LƯƠNG T08-2026-C.Thuc.xlsm" — bảng lương thực tế tháng 8/2026 của Chi cục, gồm 58 sheet liên kết chặt chẽ với nhau, chi trả cho 550 người (443 công chức và 107 hợp đồng lao động theo Nghị định 111/2022/NĐ-CP hưởng mức lương thỏa thuận, ký hiệu HD111TT). Nhóm thứ hai là 14 văn bản pháp lý về chế độ tiền lương, phụ cấp, bảo hiểm và thuế thu nhập cá nhân. Toàn bộ công thức trong file Excel đã được bóc tách và đối chiếu với từng văn bản; kết quả trình bày dưới đây.</w:t>
      </w:r>
    </w:p>
    <w:p>
      <w:pPr>
        <w:spacing w:after="120" w:before="0" w:line="276"/>
        <w:jc w:val="both"/>
      </w:pPr>
      <w:r>
        <w:rPr>
          <w:rFonts w:ascii="Times New Roman" w:cs="Times New Roman" w:eastAsia="Times New Roman" w:hAnsi="Times New Roman"/>
          <w:sz w:val="26"/>
          <w:szCs w:val="26"/>
        </w:rPr>
        <w:t xml:space="preserve">Các thông số nền của kỳ lương tháng 8/2026: mức lương cơ sở 2.530.000 đồng/tháng (áp dụng từ 01/7/2026, tăng từ mức 2.340.000 đồng); ngày công chuẩn của tháng là 21 ngày làm việc; giảm trừ gia cảnh thuế TNCN 15,5 triệu đồng/tháng cho bản thân và 6,2 triệu đồng/tháng cho mỗi người phụ thuộc. Đơn vị sử dụng ngân sách mã 1058542; biên chế công chức được giao 476 (Quyết định 343/QĐ-TCHQ ngày 10/3/2023), hợp đồng lao động theo Quyết định 3244/QĐ-TCHQ ngày 28/12/2023. Đơn giá tính trong toàn bộ bảng lương là nghìn đồng.</w:t>
      </w:r>
    </w:p>
    <w:p>
      <w:pPr>
        <w:spacing w:after="120" w:before="0" w:line="276"/>
        <w:jc w:val="both"/>
      </w:pPr>
      <w:r>
        <w:rPr>
          <w:rFonts w:ascii="Times New Roman" w:cs="Times New Roman" w:eastAsia="Times New Roman" w:hAnsi="Times New Roman"/>
          <w:sz w:val="26"/>
          <w:szCs w:val="26"/>
        </w:rPr>
        <w:t xml:space="preserve">Về cấu trúc dữ liệu, file Excel vận hành theo chuỗi: sheet "Menue" chứa toàn bộ danh mục (đơn vị, chức vụ, ngạch — bậc lương, mức phụ cấp, tham số tháng); sheet "L.Su" là hồ sơ gốc từng người; sheet "Hệ số" tính ra hệ số lương và hệ số từng khoản phụ cấp của từng người; sheet "TH.LUONG" là bảng tính trung tâm quy đổi hệ số thành tiền, cộng thu nhập, trừ bảo hiểm, tính thuế và ra số thực nhận; các sheet vệ tinh phục vụ từng nghiệp vụ: "B.hiểm2" (trích bảo hiểm hai phía), "MucLuongHD111TT" (lương hợp đồng thỏa thuận), "Luong tang them" (thu nhập tăng thêm 0,8), "P.thuộc" (người phụ thuộc), "Truylĩnh"/"TruyThu", "Nang_Luong" (theo dõi nâng bậc), "Di_hoc" (theo dõi đi học), "Bảng bảolưuUĐN" (bảo lưu ưu đãi nghề khi nâng ngạch), "5-Tiềnk.thưởng" (khen thưởng), "CTP khoán" (công tác phí khoán), "Hạch toán" (định khoản mục lục ngân sách), "KB"/"KB mau 20" (bảng thanh toán gửi Kho bạc mẫu 09), "nhap phan mem imas" (dữ liệu nhập phần mềm kế toán IMAS).</w:t>
      </w:r>
    </w:p>
    <w:p>
      <w:pPr>
        <w:pStyle w:val="Heading1"/>
        <w:spacing w:after="160" w:before="280"/>
      </w:pPr>
      <w:r>
        <w:rPr>
          <w:rFonts w:ascii="Times New Roman" w:cs="Times New Roman" w:eastAsia="Times New Roman" w:hAnsi="Times New Roman"/>
          <w:b/>
          <w:bCs/>
          <w:sz w:val="28"/>
          <w:szCs w:val="28"/>
        </w:rPr>
        <w:t xml:space="preserve">II. PHÂN LOẠI ĐỐI TƯỢNG HƯỞNG LƯƠNG</w:t>
      </w:r>
    </w:p>
    <w:p>
      <w:pPr>
        <w:spacing w:after="120" w:before="0" w:line="276"/>
        <w:jc w:val="both"/>
      </w:pPr>
      <w:r>
        <w:rPr>
          <w:rFonts w:ascii="Times New Roman" w:cs="Times New Roman" w:eastAsia="Times New Roman" w:hAnsi="Times New Roman"/>
          <w:sz w:val="26"/>
          <w:szCs w:val="26"/>
        </w:rPr>
        <w:t xml:space="preserve">Phần mềm phải xử lý bốn nhóm đối tượng với cách tính khác nhau. Nhóm thứ nhất — công chức (CBCC, 443 người): hưởng lương ngạch bậc theo hệ số nhân lương cơ sở, đầy đủ các loại phụ cấp, không đóng bảo hiểm thất nghiệp. Nhóm thứ hai — hợp đồng lao động theo Nghị định 68/2000/NĐ-CP và HĐ111 xếp lương hệ số (hiện không còn người hưởng trong tháng 8/2026 nhưng công thức vẫn hỗ trợ): tính như công chức nhưng có đóng bảo hiểm thất nghiệp 1%. Nhóm thứ ba — hợp đồng lao động theo Nghị định 111/2022/NĐ-CP hưởng mức lương thỏa thuận (HD111TT, 107 người): không dùng hệ số, hưởng mức tiền tuyệt đối theo vị trí việc làm và bậc thâm niên; đóng đủ ba loại bảo hiểm trên chính mức lương thỏa thuận. Nhóm thứ tư — hợp đồng dân sự/giản đơn (HDDS): chỉ hưởng tiền công, không phụ cấp, không trích bảo hiểm theo lương tại đơn vị.</w:t>
      </w:r>
    </w:p>
    <w:p>
      <w:pPr>
        <w:spacing w:after="120" w:before="0" w:line="276"/>
        <w:jc w:val="both"/>
      </w:pPr>
      <w:r>
        <w:rPr>
          <w:rFonts w:ascii="Times New Roman" w:cs="Times New Roman" w:eastAsia="Times New Roman" w:hAnsi="Times New Roman"/>
          <w:sz w:val="26"/>
          <w:szCs w:val="26"/>
        </w:rPr>
        <w:t xml:space="preserve">Mức lương thỏa thuận HD111TT xây theo từng vị trí, mỗi vị trí có 5 bậc theo thâm niên làm việc: bậc 1 dưới 5 năm, bậc 2 từ 5 đến dưới 10 năm, bậc 3 từ 10 đến dưới 15 năm, bậc 4 từ 15 đến dưới 20 năm, bậc 5 từ đủ 20 năm. Ví dụ thực tế trong file: nhân viên bảo vệ 5,8 — 6,0 — 6,5 — 7,0 — 7,5 triệu đồng; lễ tân phục vụ 5,4 — 5,8 — 6,2 — 6,6 — 7,0 triệu đồng; nhân viên tàu thuyền khoảng 8 triệu đồng. Ngoài lương còn có khoản hỗ trợ làm việc tại trụ sở Chi cục và hỗ trợ vị trí thuyền trưởng khi phát sinh.</w:t>
      </w:r>
    </w:p>
    <w:p>
      <w:pPr>
        <w:pStyle w:val="Heading1"/>
        <w:spacing w:after="160" w:before="280"/>
      </w:pPr>
      <w:r>
        <w:rPr>
          <w:rFonts w:ascii="Times New Roman" w:cs="Times New Roman" w:eastAsia="Times New Roman" w:hAnsi="Times New Roman"/>
          <w:b/>
          <w:bCs/>
          <w:sz w:val="28"/>
          <w:szCs w:val="28"/>
        </w:rPr>
        <w:t xml:space="preserve">III. CÁC KHOẢN THU NHẬP ĐƯỢC NHẬN VÀ CÔNG THỨC TÍNH</w:t>
      </w:r>
    </w:p>
    <w:p>
      <w:pPr>
        <w:spacing w:after="120" w:before="0" w:line="276"/>
        <w:jc w:val="both"/>
      </w:pPr>
      <w:r>
        <w:rPr>
          <w:rFonts w:ascii="Times New Roman" w:cs="Times New Roman" w:eastAsia="Times New Roman" w:hAnsi="Times New Roman"/>
          <w:sz w:val="26"/>
          <w:szCs w:val="26"/>
        </w:rPr>
        <w:t xml:space="preserve">Quy ước chung: "LCS" là lương cơ sở (2.530.000 đồng); "HSL" là hệ số lương hiện hưởng cộng hệ số bảo lưu lương (nếu có); "PCCV" là hệ số phụ cấp chức vụ cộng hệ số chức vụ bảo lưu; "TNVK" là thâm niên vượt khung quy hệ số; nền tính phần lớn phụ cấp là (HSL + PCCV + TNVK). Khi một người chỉ hưởng một phần tháng, mọi khoản theo hệ số được tính: Tiền = HS × LCS ÷ ngày công chuẩn × số ngày hưởng lương.</w:t>
      </w:r>
    </w:p>
    <w:p>
      <w:pPr>
        <w:pStyle w:val="Heading2"/>
        <w:spacing w:after="120" w:before="220"/>
      </w:pPr>
      <w:r>
        <w:rPr>
          <w:rFonts w:ascii="Times New Roman" w:cs="Times New Roman" w:eastAsia="Times New Roman" w:hAnsi="Times New Roman"/>
          <w:b/>
          <w:bCs/>
          <w:sz w:val="26"/>
          <w:szCs w:val="26"/>
        </w:rPr>
        <w:t xml:space="preserve">1. Lương ngạch, bậc (tiểu mục 6001 với công chức; 6051 hợp đồng hệ số; 6757 HD111TT)</w:t>
      </w:r>
    </w:p>
    <w:p>
      <w:pPr>
        <w:spacing w:after="120" w:before="0" w:line="276"/>
        <w:jc w:val="both"/>
      </w:pPr>
      <w:r>
        <w:rPr>
          <w:rFonts w:ascii="Times New Roman" w:cs="Times New Roman" w:eastAsia="Times New Roman" w:hAnsi="Times New Roman"/>
          <w:sz w:val="26"/>
          <w:szCs w:val="26"/>
        </w:rPr>
        <w:t xml:space="preserve">Công thức: Lương = HSL × LCS. Hệ số theo bảng lương chuyên môn nghiệp vụ ban hành kèm Nghị định 204/2004/NĐ-CP: Kiểm tra viên cao cấp hải quan (08.049, loại A3.1) khởi điểm 6,20; Kiểm tra viên chính hải quan (08.050, A2.1) khởi điểm 4,40; Kiểm tra viên hải quan (08.051, A1) khởi điểm 2,34; Kiểm tra viên trung cấp hải quan (08.052, A0) khởi điểm 2,10 (trình độ dưới cao đẳng xếp loại B khởi điểm 1,86); Nhân viên hải quan (08.053) 1,86 hoặc 1,65 tùy trình độ. Các ngạch hành chính dùng chung (chuyên viên cao cấp 6,20; chuyên viên chính 4,40; chuyên viên 2,34; cán sự, nhân viên...) cũng có trong danh mục. Người tập sự hưởng 85% mức lương của ngạch. Người có hệ số bảo lưu lương (do sắp xếp tổ chức, chuyển xếp) được cộng vào HSL.</w:t>
      </w:r>
    </w:p>
    <w:p>
      <w:pPr>
        <w:pStyle w:val="Heading2"/>
        <w:spacing w:after="120" w:before="220"/>
      </w:pPr>
      <w:r>
        <w:rPr>
          <w:rFonts w:ascii="Times New Roman" w:cs="Times New Roman" w:eastAsia="Times New Roman" w:hAnsi="Times New Roman"/>
          <w:b/>
          <w:bCs/>
          <w:sz w:val="26"/>
          <w:szCs w:val="26"/>
        </w:rPr>
        <w:t xml:space="preserve">2. Phụ cấp chức vụ lãnh đạo (6101)</w:t>
      </w:r>
    </w:p>
    <w:p>
      <w:pPr>
        <w:spacing w:after="120" w:before="0" w:line="276"/>
        <w:jc w:val="both"/>
      </w:pPr>
      <w:r>
        <w:rPr>
          <w:rFonts w:ascii="Times New Roman" w:cs="Times New Roman" w:eastAsia="Times New Roman" w:hAnsi="Times New Roman"/>
          <w:sz w:val="26"/>
          <w:szCs w:val="26"/>
        </w:rPr>
        <w:t xml:space="preserve">Công thức: PC chức vụ = hệ số PCCV × LCS. Mức áp dụng tại Chi cục: Chi cục trưởng 0,7; Phó Chi cục trưởng 0,5; Trưởng phòng, Đội trưởng, Chánh Văn phòng, Phó Trưởng phòng/Phó Đội trưởng được giao phụ trách 0,3; Phó Trưởng phòng, Phó Đội trưởng, Phó Chánh Văn phòng 0,2. Có cơ chế bảo lưu: khi điều động, bổ nhiệm sang chức vụ có hệ số thấp hơn, phần chênh lệch (hệ số cũ trừ hệ số mới) được bảo lưu đến thời hạn ghi trong quyết định (file theo dõi từng người kèm số quyết định và hạn bảo lưu, ví dụ bảo lưu 0,7 xuống 0,5 đến hết tháng 7/2028). Phụ cấp chức vụ tính đóng bảo hiểm xã hội và chịu thuế TNCN.</w:t>
      </w:r>
    </w:p>
    <w:p>
      <w:pPr>
        <w:pStyle w:val="Heading2"/>
        <w:spacing w:after="120" w:before="220"/>
      </w:pPr>
      <w:r>
        <w:rPr>
          <w:rFonts w:ascii="Times New Roman" w:cs="Times New Roman" w:eastAsia="Times New Roman" w:hAnsi="Times New Roman"/>
          <w:b/>
          <w:bCs/>
          <w:sz w:val="26"/>
          <w:szCs w:val="26"/>
        </w:rPr>
        <w:t xml:space="preserve">3. Phụ cấp khu vực (6102)</w:t>
      </w:r>
    </w:p>
    <w:p>
      <w:pPr>
        <w:spacing w:after="120" w:before="0" w:line="276"/>
        <w:jc w:val="both"/>
      </w:pPr>
      <w:r>
        <w:rPr>
          <w:rFonts w:ascii="Times New Roman" w:cs="Times New Roman" w:eastAsia="Times New Roman" w:hAnsi="Times New Roman"/>
          <w:sz w:val="26"/>
          <w:szCs w:val="26"/>
        </w:rPr>
        <w:t xml:space="preserve">Công thức: PC khu vực = hệ số khu vực × LCS, gắn với địa bàn nơi đơn vị đóng trú. Theo Phụ lục Thông tư 15/2026/TT-BNV (hiệu lực 01/7/2026, thay Phụ lục Thông tư liên tịch 11/2005), địa bàn tỉnh Quảng Ninh liên quan Chi cục: xã Hoành Mô hệ số 0,7; xã Quảng Đức (Bắc Phong Sinh) và xã Vĩnh Thực (Vạn Gia) hệ số 0,5; các phường Móng Cái 1-2-3 hệ số 0,2; phường Cẩm Phả, Quang Hanh, Cửa Ông hệ số 0,1. File đang áp: Móng Cái 0,2; Cẩm Phả 0,1; Hoành Mô 0,7; Bắc Phong Sinh 0,5; Vạn Gia 0,5; Đội Kiểm soát hải quan (đóng tại Móng Cái) 0,2 — khớp hoàn toàn với Thông tư. Khoản này không chịu thuế TNCN, không tính đóng bảo hiểm, và bị cắt khi rời địa bàn từ 1 tháng trở lên (đi học, đi công tác, thai sản, nghỉ hưởng bảo hiểm xã hội).</w:t>
      </w:r>
    </w:p>
    <w:p>
      <w:pPr>
        <w:pStyle w:val="Heading2"/>
        <w:spacing w:after="120" w:before="220"/>
      </w:pPr>
      <w:r>
        <w:rPr>
          <w:rFonts w:ascii="Times New Roman" w:cs="Times New Roman" w:eastAsia="Times New Roman" w:hAnsi="Times New Roman"/>
          <w:b/>
          <w:bCs/>
          <w:sz w:val="26"/>
          <w:szCs w:val="26"/>
        </w:rPr>
        <w:t xml:space="preserve">4. Phụ cấp đặc biệt (6116)</w:t>
      </w:r>
    </w:p>
    <w:p>
      <w:pPr>
        <w:spacing w:after="120" w:before="0" w:line="276"/>
        <w:jc w:val="both"/>
      </w:pPr>
      <w:r>
        <w:rPr>
          <w:rFonts w:ascii="Times New Roman" w:cs="Times New Roman" w:eastAsia="Times New Roman" w:hAnsi="Times New Roman"/>
          <w:sz w:val="26"/>
          <w:szCs w:val="26"/>
        </w:rPr>
        <w:t xml:space="preserve">Theo Thông tư 09/2005/TT-BNV, áp dụng cho địa bàn đảo xa, biên giới có điều kiện đặc biệt khó khăn với ba mức 30%, 50%, 100%. Tại Chi cục chỉ Hải quan cửa khẩu cảng Vạn Gia (đảo Vĩnh Thực) hưởng mức 30%. Công thức: PC đặc biệt = 30% × (HSL + PCCV + TNVK) × LCS. Không chịu thuế, không đóng bảo hiểm; chỉ trả những tháng thực tế công tác trên địa bàn — rời địa bàn từ 1 tháng trở lên thì cắt (file có ghi chú riêng: chuyển khỏi Vạn Gia từ 1 tháng không hưởng; chuyển đến chưa tròn tháng hưởng theo ngày thực tế).</w:t>
      </w:r>
    </w:p>
    <w:p>
      <w:pPr>
        <w:pStyle w:val="Heading2"/>
        <w:spacing w:after="120" w:before="220"/>
      </w:pPr>
      <w:r>
        <w:rPr>
          <w:rFonts w:ascii="Times New Roman" w:cs="Times New Roman" w:eastAsia="Times New Roman" w:hAnsi="Times New Roman"/>
          <w:b/>
          <w:bCs/>
          <w:sz w:val="26"/>
          <w:szCs w:val="26"/>
        </w:rPr>
        <w:t xml:space="preserve">5. Phụ cấp công vụ (6124)</w:t>
      </w:r>
    </w:p>
    <w:p>
      <w:pPr>
        <w:spacing w:after="120" w:before="0" w:line="276"/>
        <w:jc w:val="both"/>
      </w:pPr>
      <w:r>
        <w:rPr>
          <w:rFonts w:ascii="Times New Roman" w:cs="Times New Roman" w:eastAsia="Times New Roman" w:hAnsi="Times New Roman"/>
          <w:sz w:val="26"/>
          <w:szCs w:val="26"/>
        </w:rPr>
        <w:t xml:space="preserve">Công thức: PC công vụ = 25% × (HSL + PCCV + TNVK) × LCS, áp dụng cho công chức và người hưởng lương hệ số (không áp dụng HDDS). Người tập sự hưởng trên nền 85% lương. Văn bản gốc là Nghị định 34/2012/NĐ-CP — chưa có trong thư mục, đề nghị bổ sung. Khoản này không đóng bảo hiểm xã hội nhưng chịu thuế TNCN (file đang tính vào thu nhập chịu thuế).</w:t>
      </w:r>
    </w:p>
    <w:p>
      <w:pPr>
        <w:pStyle w:val="Heading2"/>
        <w:spacing w:after="120" w:before="220"/>
      </w:pPr>
      <w:r>
        <w:rPr>
          <w:rFonts w:ascii="Times New Roman" w:cs="Times New Roman" w:eastAsia="Times New Roman" w:hAnsi="Times New Roman"/>
          <w:b/>
          <w:bCs/>
          <w:sz w:val="26"/>
          <w:szCs w:val="26"/>
        </w:rPr>
        <w:t xml:space="preserve">6. Phụ cấp ưu đãi theo nghề hải quan (6112 nguồn Cục; 6299 phần chi trả khác)</w:t>
      </w:r>
    </w:p>
    <w:p>
      <w:pPr>
        <w:spacing w:after="120" w:before="0" w:line="276"/>
        <w:jc w:val="both"/>
      </w:pPr>
      <w:r>
        <w:rPr>
          <w:rFonts w:ascii="Times New Roman" w:cs="Times New Roman" w:eastAsia="Times New Roman" w:hAnsi="Times New Roman"/>
          <w:sz w:val="26"/>
          <w:szCs w:val="26"/>
        </w:rPr>
        <w:t xml:space="preserve">Theo Quyết định 07/2007/QĐ-TTg ngày 12/01/2007 và Thông tư liên tịch 94/2007/TTLT-BTC-BNV: công chức xếp ngạch hải quan hưởng ưu đãi nghề tính trên mức lương hiện hưởng cộng phụ cấp chức vụ và thâm niên vượt khung. Tỷ lệ theo ngạch: Kiểm tra viên cao cấp 10%; Kiểm tra viên chính 15%; Kiểm tra viên 20%; Kiểm tra viên (cao đẳng) 20%; Kiểm tra viên trung cấp 25%; Nhân viên hải quan 25%. Công thức: ƯĐN = tỷ lệ % × (HSL + PCCV + TNVK) × LCS. File tách hai cột nguồn: ngạch hải quan do "Cục" đảm bảo; công chức ngạch hành chính (chuyên viên chính 15%, chuyên viên 20%, nhân viên 25%...) theo dõi ở cột nguồn khác. Điều kiện cắt theo TTLT 94/2007: đi học tập trung trong nước từ 3 tháng liên tục trở lên; nghỉ việc riêng không lương từ 1 tháng liên tục trở lên; nghỉ ốm đau, thai sản vượt quá thời hạn quy định; thời gian bị đình chỉ công tác. Đáng chú ý: nghỉ thai sản trong thời hạn quy định thì vẫn hưởng — file đang thực hiện đúng (trường hợp thai sản vẫn được trả ưu đãi nghề trong khi lương và các khoản khác cắt). Khi nâng ngạch làm tổng lương cộng ưu đãi nghề ở ngạch mới thấp hơn ngạch cũ (ví dụ lên Kiểm tra viên chính tỷ lệ giảm từ 20% còn 15%), phần chênh lệch được bảo lưu đến kỳ nâng bậc lương tiếp theo — file tính tại sheet riêng theo Quyết định 5415/QĐ-TCHQ ngày 18/10/2022 (văn bản chưa có trong thư mục).</w:t>
      </w:r>
    </w:p>
    <w:p>
      <w:pPr>
        <w:pStyle w:val="Heading2"/>
        <w:spacing w:after="120" w:before="220"/>
      </w:pPr>
      <w:r>
        <w:rPr>
          <w:rFonts w:ascii="Times New Roman" w:cs="Times New Roman" w:eastAsia="Times New Roman" w:hAnsi="Times New Roman"/>
          <w:b/>
          <w:bCs/>
          <w:sz w:val="26"/>
          <w:szCs w:val="26"/>
        </w:rPr>
        <w:t xml:space="preserve">7. Phụ cấp thâm niên vượt khung (6115)</w:t>
      </w:r>
    </w:p>
    <w:p>
      <w:pPr>
        <w:spacing w:after="120" w:before="0" w:line="276"/>
        <w:jc w:val="both"/>
      </w:pPr>
      <w:r>
        <w:rPr>
          <w:rFonts w:ascii="Times New Roman" w:cs="Times New Roman" w:eastAsia="Times New Roman" w:hAnsi="Times New Roman"/>
          <w:sz w:val="26"/>
          <w:szCs w:val="26"/>
        </w:rPr>
        <w:t xml:space="preserve">Theo Thông tư 04/2005/TT-BNV: công chức loại A sau 3 năm (đủ 36 tháng) đã xếp bậc lương cuối cùng trong ngạch được hưởng 5% mức lương của bậc cuối cùng; từ năm thứ tư trở đi mỗi năm đủ tiêu chuẩn tính thêm 1% (ngạch loại B, C là sau 2 năm). Công thức trong file: TNVK hệ số = % vượt khung × hệ số lương bậc cuối; tiền = hệ số × LCS. Không hoàn thành nhiệm vụ hoặc bị kỷ luật thì bị kéo dài thời gian tính hưởng như quy chế nâng lương. Khoản này dùng để tính đóng bảo hiểm xã hội và chịu thuế TNCN, đồng thời tham gia vào nền tính của hầu hết phụ cấp khác.</w:t>
      </w:r>
    </w:p>
    <w:p>
      <w:pPr>
        <w:pStyle w:val="Heading2"/>
        <w:spacing w:after="120" w:before="220"/>
      </w:pPr>
      <w:r>
        <w:rPr>
          <w:rFonts w:ascii="Times New Roman" w:cs="Times New Roman" w:eastAsia="Times New Roman" w:hAnsi="Times New Roman"/>
          <w:b/>
          <w:bCs/>
          <w:sz w:val="26"/>
          <w:szCs w:val="26"/>
        </w:rPr>
        <w:t xml:space="preserve">8. Phụ cấp thâm niên nghề hải quan (6115)</w:t>
      </w:r>
    </w:p>
    <w:p>
      <w:pPr>
        <w:spacing w:after="120" w:before="0" w:line="276"/>
        <w:jc w:val="both"/>
      </w:pPr>
      <w:r>
        <w:rPr>
          <w:rFonts w:ascii="Times New Roman" w:cs="Times New Roman" w:eastAsia="Times New Roman" w:hAnsi="Times New Roman"/>
          <w:sz w:val="26"/>
          <w:szCs w:val="26"/>
        </w:rPr>
        <w:t xml:space="preserve">Theo Thông tư liên tịch 04/2009/TTLT-BNV-BTC: đủ 5 năm (60 tháng) công tác tính hưởng thì được 5% mức lương hiện hưởng cộng phụ cấp chức vụ và thâm niên vượt khung; từ năm thứ sáu mỗi năm đủ 12 tháng tính thêm 1%. Công thức file: TNHQ = số năm thâm niên % × (HSL + PCCV + TNVK) × LCS, trong đó số năm tính bằng DATEDIF từ mốc tính thâm niên của từng người đến tháng trả lương, chỉ áp khi đủ 5 năm trở lên. Khoản này tính đóng bảo hiểm xã hội (đúng Thông tư: "dùng để tính đóng, hưởng bảo hiểm xã hội"); về thuế TNCN file đang xếp vào nhóm không chịu thuế — cần rà lại khi xây phần mềm theo danh mục phụ cấp trừ khỏi thu nhập chịu thuế tại Nghị định 253/2026/NĐ-CP.</w:t>
      </w:r>
    </w:p>
    <w:p>
      <w:pPr>
        <w:pStyle w:val="Heading2"/>
        <w:spacing w:after="120" w:before="220"/>
      </w:pPr>
      <w:r>
        <w:rPr>
          <w:rFonts w:ascii="Times New Roman" w:cs="Times New Roman" w:eastAsia="Times New Roman" w:hAnsi="Times New Roman"/>
          <w:b/>
          <w:bCs/>
          <w:sz w:val="26"/>
          <w:szCs w:val="26"/>
        </w:rPr>
        <w:t xml:space="preserve">9. Các phụ cấp nhỏ khác</w:t>
      </w:r>
    </w:p>
    <w:p>
      <w:pPr>
        <w:spacing w:after="120" w:before="0" w:line="276"/>
        <w:jc w:val="both"/>
      </w:pPr>
      <w:r>
        <w:rPr>
          <w:rFonts w:ascii="Times New Roman" w:cs="Times New Roman" w:eastAsia="Times New Roman" w:hAnsi="Times New Roman"/>
          <w:sz w:val="26"/>
          <w:szCs w:val="26"/>
        </w:rPr>
        <w:t xml:space="preserve">Phụ cấp độc hại, nguy hiểm (6107): hệ số 0,2 × LCS cho công chức chuyên trách văn thư lưu trữ (văn bản mức hưởng chưa có trong thư mục); không chịu thuế. Phụ cấp bảo mật (6149): hệ số 0,2, hiện không phát sinh người hưởng. Phụ cấp thu hút (6103): đã hết hiệu lực trên địa bàn từ tháng 5/2021, cột giữ lại để truy lĩnh khi cần. Phụ cấp lâu năm (6149): không phát sinh. Phụ cấp trách nhiệm theo công việc (6113), mức hệ số nhân LCS theo từng quyết định riêng: kế toán trưởng 0,2; phụ trách kế toán 0,1; thủ quỹ 0,1; hướng dẫn tập sự 0,3; ngoài ra theo dõi cả chức danh Chủ tịch/Phó Chủ tịch Hội Cựu chiến binh, thành viên Ban Vì sự tiến bộ phụ nữ khi có quyết định. Phụ cấp chức vụ chỉ huy Dân quân tự vệ (6149/6123): theo Nghị định 72/2020/NĐ-CP là mức tiền tuyệt đối (Chỉ huy trưởng/Chính trị viên Ban chỉ huy quân sự cơ quan 357.600 đồng; Phó Chỉ huy trưởng 327.800 đồng...); file đang trả theo mức đã quy đổi tương ứng lương cơ sở 2,34 triệu (561.600 đồng, 514.800 đồng, 280.800 đồng, 234.000 đồng...) — cần kiểm tra văn bản cập nhật mức khi lương cơ sở lên 2,53 triệu. Hưởng đủ tháng khi giữ chức vụ từ 15 ngày trong tháng trở lên, dưới 15 ngày hưởng 50%.</w:t>
      </w:r>
    </w:p>
    <w:p>
      <w:pPr>
        <w:pStyle w:val="Heading2"/>
        <w:spacing w:after="120" w:before="220"/>
      </w:pPr>
      <w:r>
        <w:rPr>
          <w:rFonts w:ascii="Times New Roman" w:cs="Times New Roman" w:eastAsia="Times New Roman" w:hAnsi="Times New Roman"/>
          <w:b/>
          <w:bCs/>
          <w:sz w:val="26"/>
          <w:szCs w:val="26"/>
        </w:rPr>
        <w:t xml:space="preserve">10. Lương tăng thêm 0,8 lần (6404)</w:t>
      </w:r>
    </w:p>
    <w:p>
      <w:pPr>
        <w:spacing w:after="120" w:before="0" w:line="276"/>
        <w:jc w:val="both"/>
      </w:pPr>
      <w:r>
        <w:rPr>
          <w:rFonts w:ascii="Times New Roman" w:cs="Times New Roman" w:eastAsia="Times New Roman" w:hAnsi="Times New Roman"/>
          <w:sz w:val="26"/>
          <w:szCs w:val="26"/>
        </w:rPr>
        <w:t xml:space="preserve">Đây là khoản chi thu nhập tăng thêm theo cơ chế tài chính đặc thù của ngành, chiếm tỷ trọng lớn trong thu nhập. Cơ chế tính trong file: mỗi tháng lập một bảng riêng, chi trả chậm 2 tháng (bảng lương tháng 8/2026 trả lương tăng thêm của tháng 6/2026). Nền tính của từng người là hệ số (HSL + PCCV + TNVK + ưu đãi nghề nguồn Cục); nhân với hệ số phân loại đánh giá hoàn thành nhiệm vụ tháng: loại A hệ số 1,6; loại B hệ số 1,3 (tháng 6/2026 có 66 người loại A, 478 người loại B). Quỹ chi được phân khai theo hai nhóm nguồn (công chức ngạch kiểm tra viên hải quan; công chức ngạch chuyên viên) rồi chia đơn giá theo tổng hệ số quy đổi của nhóm; người biến động (thai sản, đi học, nghỉ...) tính theo ngày công thực tế. Khoản này chịu thuế TNCN, không tính đóng bảo hiểm. Văn bản cơ chế 0,8 chưa có trong thư mục — đề nghị bổ sung để phần mềm dẫn đúng căn cứ.</w:t>
      </w:r>
    </w:p>
    <w:p>
      <w:pPr>
        <w:pStyle w:val="Heading2"/>
        <w:spacing w:after="120" w:before="220"/>
      </w:pPr>
      <w:r>
        <w:rPr>
          <w:rFonts w:ascii="Times New Roman" w:cs="Times New Roman" w:eastAsia="Times New Roman" w:hAnsi="Times New Roman"/>
          <w:b/>
          <w:bCs/>
          <w:sz w:val="26"/>
          <w:szCs w:val="26"/>
        </w:rPr>
        <w:t xml:space="preserve">11. Các khoản thu nhập, hỗ trợ ngoài lương khác</w:t>
      </w:r>
    </w:p>
    <w:p>
      <w:pPr>
        <w:spacing w:after="120" w:before="0" w:line="276"/>
        <w:jc w:val="both"/>
      </w:pPr>
      <w:r>
        <w:rPr>
          <w:rFonts w:ascii="Times New Roman" w:cs="Times New Roman" w:eastAsia="Times New Roman" w:hAnsi="Times New Roman"/>
          <w:sz w:val="26"/>
          <w:szCs w:val="26"/>
        </w:rPr>
        <w:t xml:space="preserve">Khoán công tác phí hàng tháng (6704): 400.000 đồng/người/tháng cho người làm kế toán, văn thư, quản trị, thủ quỹ theo danh sách được duyệt (13 người, 5,2 triệu đồng/tháng); không chịu thuế TNCN; cắt khi trong tháng có biến động nghỉ chế độ, đi học, đi công tác dài ngày. Điện thoại di động, điện thoại cố định nhà riêng (6618/6118): khoán theo chức vụ lãnh đạo theo quy định của Cục; hỗ trợ điện thoại lái xe Văn phòng Cục 100.000 đồng/tháng (6299). Khen thưởng theo danh hiệu thi đua (6201): hệ số nhân LCS — Lao động tiên tiến 0,3; Chiến sĩ thi đua cơ sở 1,0; Giấy khen 0,3; Chiến sĩ thi đua cấp ngành 3,0; tiền thưởng danh hiệu không tính vào thu nhập chịu thuế TNCN. Nhuận bút (7012) khi phát sinh. Các khoản chi nhân dịp lễ, tết (6299): Tết âm lịch, 30/4 — 01/5, giỗ Tổ Hùng Vương, 2/9, nghỉ mát... chi theo quyết định từng đợt và tính vào thu nhập chịu thuế. Hỗ trợ đặc thù ngành và phụ cấp nữ giới (6449): có cột riêng, tháng 8/2026 không phát sinh. Trường hợp cá biệt đang xử lý riêng: tiền bảo hiểm cơ quan trích trả cho ông Trần Văn Giảng (6757) và bảo lưu ưu đãi nghề cho nhóm nâng ngạch kiểm tra viên chính.</w:t>
      </w:r>
    </w:p>
    <w:p>
      <w:pPr>
        <w:pStyle w:val="Heading2"/>
        <w:spacing w:after="120" w:before="220"/>
      </w:pPr>
      <w:r>
        <w:rPr>
          <w:rFonts w:ascii="Times New Roman" w:cs="Times New Roman" w:eastAsia="Times New Roman" w:hAnsi="Times New Roman"/>
          <w:b/>
          <w:bCs/>
          <w:sz w:val="26"/>
          <w:szCs w:val="26"/>
        </w:rPr>
        <w:t xml:space="preserve">12. Truy lĩnh và truy thu</w:t>
      </w:r>
    </w:p>
    <w:p>
      <w:pPr>
        <w:spacing w:after="120" w:before="0" w:line="276"/>
        <w:jc w:val="both"/>
      </w:pPr>
      <w:r>
        <w:rPr>
          <w:rFonts w:ascii="Times New Roman" w:cs="Times New Roman" w:eastAsia="Times New Roman" w:hAnsi="Times New Roman"/>
          <w:sz w:val="26"/>
          <w:szCs w:val="26"/>
        </w:rPr>
        <w:t xml:space="preserve">Truy lĩnh phát sinh khi nâng bậc lương, nâng ngạch, bổ nhiệm, thay đổi phụ cấp có hiệu lực lùi: file tính lại từng khoản của các tháng liên quan (lương, chức vụ, khu vực, đặc biệt, công vụ, ưu đãi nghề, vượt khung, thâm niên...) bằng chênh lệch giữa hệ số mới và số tiền đã chi, đồng thời truy đóng bảo hiểm 8% + 1,5% (+1% nếu là hợp đồng) trên phần truy lĩnh của các khoản thuộc nền đóng. Truy thu là chiều ngược lại khi đã chi thừa. Cả hai đều cộng/trừ vào tổng thu nhập tháng hiện tại trước khi tính thuế.</w:t>
      </w:r>
    </w:p>
    <w:p>
      <w:pPr>
        <w:pStyle w:val="Heading1"/>
        <w:spacing w:after="160" w:before="280"/>
      </w:pPr>
      <w:r>
        <w:rPr>
          <w:rFonts w:ascii="Times New Roman" w:cs="Times New Roman" w:eastAsia="Times New Roman" w:hAnsi="Times New Roman"/>
          <w:b/>
          <w:bCs/>
          <w:sz w:val="28"/>
          <w:szCs w:val="28"/>
        </w:rPr>
        <w:t xml:space="preserve">IV. CÁC KHOẢN PHẢI NỘP, GIẢM TRỪ CỦA NGƯỜI HƯỞNG LƯƠNG</w:t>
      </w:r>
    </w:p>
    <w:p>
      <w:pPr>
        <w:pStyle w:val="Heading2"/>
        <w:spacing w:after="120" w:before="220"/>
      </w:pPr>
      <w:r>
        <w:rPr>
          <w:rFonts w:ascii="Times New Roman" w:cs="Times New Roman" w:eastAsia="Times New Roman" w:hAnsi="Times New Roman"/>
          <w:b/>
          <w:bCs/>
          <w:sz w:val="26"/>
          <w:szCs w:val="26"/>
        </w:rPr>
        <w:t xml:space="preserve">1. Bảo hiểm bắt buộc (phần người lao động: 9,5% hoặc 10,5%)</w:t>
      </w:r>
    </w:p>
    <w:p>
      <w:pPr>
        <w:spacing w:after="120" w:before="0" w:line="276"/>
        <w:jc w:val="both"/>
      </w:pPr>
      <w:r>
        <w:rPr>
          <w:rFonts w:ascii="Times New Roman" w:cs="Times New Roman" w:eastAsia="Times New Roman" w:hAnsi="Times New Roman"/>
          <w:sz w:val="26"/>
          <w:szCs w:val="26"/>
        </w:rPr>
        <w:t xml:space="preserve">Nền đóng của người hưởng lương hệ số là (HSL + PCCV + TNVK + TNHQ) × LCS — đúng nguyên tắc tiền lương làm căn cứ đóng gồm lương ngạch bậc, phụ cấp chức vụ, thâm niên vượt khung, thâm niên nghề. Nền đóng của HD111TT là mức lương thỏa thuận. Mức trích trừ vào lương: bảo hiểm xã hội 8% vào quỹ hưu trí và tử tuất (Điều 33 Luật Bảo hiểm xã hội 41/2024/QH15); bảo hiểm y tế 1,5% — bằng một phần ba của tổng mức đóng 4,5% (Nghị định 188/2025/NĐ-CP quy định chi tiết Luật BHYT, văn bản hợp nhất 22/VBHN-VPQH); bảo hiểm thất nghiệp 1% chỉ với người làm việc theo hợp đồng lao động (Luật Việc làm, Nghị định 374/2025/NĐ-CP) — công chức không thuộc đối tượng. Không trích bảo hiểm trong tháng nghỉ thai sản, nghỉ không lương, nghỉ hưởng chế độ bảo hiểm xã hội; có cơ chế hoàn lại tiền bảo hiểm đã nộp khi nghỉ ốm đau, thai sản được duyệt chế độ và truy đóng khi truy lĩnh lương.</w:t>
      </w:r>
    </w:p>
    <w:p>
      <w:pPr>
        <w:pStyle w:val="Heading2"/>
        <w:spacing w:after="120" w:before="220"/>
      </w:pPr>
      <w:r>
        <w:rPr>
          <w:rFonts w:ascii="Times New Roman" w:cs="Times New Roman" w:eastAsia="Times New Roman" w:hAnsi="Times New Roman"/>
          <w:b/>
          <w:bCs/>
          <w:sz w:val="26"/>
          <w:szCs w:val="26"/>
        </w:rPr>
        <w:t xml:space="preserve">2. Thuế thu nhập cá nhân — quy trình 5 bước trong file</w:t>
      </w:r>
    </w:p>
    <w:p>
      <w:pPr>
        <w:spacing w:after="120" w:before="0" w:line="276"/>
        <w:jc w:val="both"/>
      </w:pPr>
      <w:r>
        <w:rPr>
          <w:rFonts w:ascii="Times New Roman" w:cs="Times New Roman" w:eastAsia="Times New Roman" w:hAnsi="Times New Roman"/>
          <w:sz w:val="26"/>
          <w:szCs w:val="26"/>
        </w:rPr>
        <w:t xml:space="preserve">Bước 1, xác định thu nhập chịu thuế: lấy tổng thu nhập (đã cộng truy lĩnh, trừ truy thu) trừ đi các khoản không chịu thuế gồm phụ cấp khu vực, phụ cấp đặc biệt, phụ cấp ưu đãi nghề nguồn Cục, phụ cấp thâm niên hải quan, phụ cấp độc hại nguy hiểm, phụ cấp thu hút, khoán công tác phí, tiền thưởng danh hiệu thi đua, và trừ toàn bộ bảo hiểm bắt buộc người lao động đã đóng. Bước 2, các khoản thu nhập chi trả một lần cho nhiều tháng (lương tăng thêm các đợt cũ, hỗ trợ đặc thù, làm thêm giờ Ban chỉ đạo 389, nhuận bút nhiều tháng) được phân bổ theo số tháng để tính thuế riêng từng khoản rồi cộng số thuế chênh lệch. Bước 3, giảm trừ gia cảnh 15,5 triệu đồng/tháng cho bản thân cộng 6,2 triệu đồng/tháng nhân số người phụ thuộc đã đăng ký (sheet P.thuộc quản lý số định danh, quan hệ, thời gian tính giảm trừ của từng người phụ thuộc — mức trần thu nhập của người phụ thuộc là bình quân 3 triệu đồng/tháng theo Thông tư 87/2026/TT-BTC). Bước 4, áp biểu thuế lũy tiến từng phần lên thu nhập tính thuế. Bước 5, khấu trừ vào lương tháng; đồng thời file đang xử lý bù trừ nộp thêm/hoàn thuế theo kết quả quyết toán năm 2025, số phải nộp từ 50.000 đồng trở xuống được miễn thu.</w:t>
      </w:r>
    </w:p>
    <w:p>
      <w:pPr>
        <w:spacing w:after="120" w:before="0" w:line="276"/>
        <w:jc w:val="both"/>
      </w:pPr>
      <w:r>
        <w:rPr>
          <w:rFonts w:ascii="Times New Roman" w:cs="Times New Roman" w:eastAsia="Times New Roman" w:hAnsi="Times New Roman"/>
          <w:b/>
          <w:bCs/>
          <w:sz w:val="26"/>
          <w:szCs w:val="26"/>
        </w:rPr>
        <w:t xml:space="preserve">Điểm bắt buộc phải thay đổi khi xây phần mềm: </w:t>
      </w:r>
      <w:r>
        <w:rPr>
          <w:rFonts w:ascii="Times New Roman" w:cs="Times New Roman" w:eastAsia="Times New Roman" w:hAnsi="Times New Roman"/>
          <w:sz w:val="26"/>
          <w:szCs w:val="26"/>
        </w:rPr>
        <w:t xml:space="preserve">file hiện vẫn khấu trừ theo biểu thuế 7 bậc của Luật Thuế TNCN 2007 (5%-10%-15%-20%-25%-30%-35% với các ngưỡng 5/10/18/32/52/80 triệu). Luật Thuế TNCN số 109/2025/QH15 (Quốc hội thông qua 10/12/2025, hiệu lực 01/7/2026) quy định các nội dung về thu nhập từ tiền lương, tiền công của cá nhân cư trú áp dụng từ kỳ tính thuế năm 2026, và Điều 50 Nghị định 253/2026/NĐ-CP yêu cầu khấu trừ hằng tháng theo biểu thuế mới. Biểu mới chỉ còn 5 bậc theo thu nhập tính thuế/tháng như bảng dưới đây; phần mềm mới phải dùng biểu này.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450"/>
        <w:gridCol w:w="1600"/>
        <w:gridCol w:w="3100"/>
      </w:tblGrid>
      <w:tr>
        <w:tc>
          <w:tcPr>
            <w:tcW w:type="dxa" w:w="120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Bậc</w:t>
            </w:r>
          </w:p>
        </w:tc>
        <w:tc>
          <w:tcPr>
            <w:tcW w:type="dxa" w:w="345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Thu nhập tính thuế/tháng</w:t>
            </w:r>
          </w:p>
        </w:tc>
        <w:tc>
          <w:tcPr>
            <w:tcW w:type="dxa" w:w="160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Thuế suất</w:t>
            </w:r>
          </w:p>
        </w:tc>
        <w:tc>
          <w:tcPr>
            <w:tcW w:type="dxa" w:w="310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Công thức tính nhanh (triệu đồng)</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1</w:t>
            </w:r>
          </w:p>
        </w:tc>
        <w:tc>
          <w:tcPr>
            <w:tcW w:type="dxa" w:w="34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Đến 10 triệu đồng</w:t>
            </w:r>
          </w:p>
        </w:tc>
        <w:tc>
          <w:tcPr>
            <w:tcW w:type="dxa" w:w="16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5%</w:t>
            </w:r>
          </w:p>
        </w:tc>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TNTT × 5%</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2</w:t>
            </w:r>
          </w:p>
        </w:tc>
        <w:tc>
          <w:tcPr>
            <w:tcW w:type="dxa" w:w="34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Trên 10 đến 30 triệu</w:t>
            </w:r>
          </w:p>
        </w:tc>
        <w:tc>
          <w:tcPr>
            <w:tcW w:type="dxa" w:w="16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10%</w:t>
            </w:r>
          </w:p>
        </w:tc>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TNTT × 10% − 0,5</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3</w:t>
            </w:r>
          </w:p>
        </w:tc>
        <w:tc>
          <w:tcPr>
            <w:tcW w:type="dxa" w:w="34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Trên 30 đến 60 triệu</w:t>
            </w:r>
          </w:p>
        </w:tc>
        <w:tc>
          <w:tcPr>
            <w:tcW w:type="dxa" w:w="16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20%</w:t>
            </w:r>
          </w:p>
        </w:tc>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TNTT × 20% − 3,5</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4</w:t>
            </w:r>
          </w:p>
        </w:tc>
        <w:tc>
          <w:tcPr>
            <w:tcW w:type="dxa" w:w="34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Trên 60 đến 100 triệu</w:t>
            </w:r>
          </w:p>
        </w:tc>
        <w:tc>
          <w:tcPr>
            <w:tcW w:type="dxa" w:w="16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30%</w:t>
            </w:r>
          </w:p>
        </w:tc>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TNTT × 30% − 9,5</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5</w:t>
            </w:r>
          </w:p>
        </w:tc>
        <w:tc>
          <w:tcPr>
            <w:tcW w:type="dxa" w:w="34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Trên 100 triệu</w:t>
            </w:r>
          </w:p>
        </w:tc>
        <w:tc>
          <w:tcPr>
            <w:tcW w:type="dxa" w:w="16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35%</w:t>
            </w:r>
          </w:p>
        </w:tc>
        <w:tc>
          <w:tcPr>
            <w:tcW w:type="dxa" w:w="31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TNTT × 35% − 14,5</w:t>
            </w:r>
          </w:p>
        </w:tc>
      </w:tr>
    </w:tbl>
    <w:p>
      <w:pPr>
        <w:spacing w:after="12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sz w:val="26"/>
          <w:szCs w:val="26"/>
        </w:rPr>
        <w:t xml:space="preserve">Luật 109/2025 còn ba điểm mới ảnh hưởng trực tiếp: tiền lương làm thêm giờ, làm việc ban đêm được miễn thuế toàn bộ (Điều 4 khoản 8); người nộp thuế được giảm trừ thêm chi khám chữa bệnh trong nước tối đa 23 triệu đồng/năm và chi giáo dục — đào tạo tối đa 24 triệu đồng/năm cho bản thân và người phụ thuộc khi có hóa đơn chứng từ (Điều 11 Luật, Điều 49 Nghị định 253/2026 — chủ yếu dùng ở khâu quyết toán); khoản đóng góp từ thiện, nhân đạo hợp lệ được trừ khỏi thu nhập chịu thuế — hiện file đang trừ các khoản ủng hộ vào lương sau thuế, phần mềm mới có thể hỗ trợ kê để người nộp thuế được lợi đúng luật.</w:t>
      </w:r>
    </w:p>
    <w:p>
      <w:pPr>
        <w:pStyle w:val="Heading2"/>
        <w:spacing w:after="120" w:before="220"/>
      </w:pPr>
      <w:r>
        <w:rPr>
          <w:rFonts w:ascii="Times New Roman" w:cs="Times New Roman" w:eastAsia="Times New Roman" w:hAnsi="Times New Roman"/>
          <w:b/>
          <w:bCs/>
          <w:sz w:val="26"/>
          <w:szCs w:val="26"/>
        </w:rPr>
        <w:t xml:space="preserve">3. Các khoản trích, giảm trừ khác</w:t>
      </w:r>
    </w:p>
    <w:p>
      <w:pPr>
        <w:spacing w:after="120" w:before="0" w:line="276"/>
        <w:jc w:val="both"/>
      </w:pPr>
      <w:r>
        <w:rPr>
          <w:rFonts w:ascii="Times New Roman" w:cs="Times New Roman" w:eastAsia="Times New Roman" w:hAnsi="Times New Roman"/>
          <w:sz w:val="26"/>
          <w:szCs w:val="26"/>
        </w:rPr>
        <w:t xml:space="preserve">Đoàn phí công đoàn 1% tính trên (lương + phụ cấp chức vụ + TNVK + TNHQ) và đảng phí 1% tính trên nền đó cộng thêm lương tăng thêm — hai cột này trong file chỉ mang tính tham khảo để các đơn vị tự thu, không trừ trên bảng lương. Các khoản ủng hộ, quyên góp theo phát động (ủng hộ khắc phục bão, Quỹ mái ấm công đoàn trích 0,5 ngày lương tính bằng lương tháng chia ngày công chuẩn nhân 50%, quỹ bão lụt trừ vào lương tăng thêm...) được trừ vào thu nhập sau thuế. Cuối cùng: Thực nhận = Tổng thu nhập − Bảo hiểm − Thuế TNCN − Giảm trừ khác, cộng/trừ số bù trừ hoàn thuế theo quyết toán.</w:t>
      </w:r>
    </w:p>
    <w:p>
      <w:pPr>
        <w:pStyle w:val="Heading1"/>
        <w:spacing w:after="160" w:before="280"/>
      </w:pPr>
      <w:r>
        <w:rPr>
          <w:rFonts w:ascii="Times New Roman" w:cs="Times New Roman" w:eastAsia="Times New Roman" w:hAnsi="Times New Roman"/>
          <w:b/>
          <w:bCs/>
          <w:sz w:val="28"/>
          <w:szCs w:val="28"/>
        </w:rPr>
        <w:t xml:space="preserve">V. CÁC KHOẢN ĐƠN VỊ TRÍCH NỘP (KHÔNG TRỪ VÀO LƯƠNG)</w:t>
      </w:r>
    </w:p>
    <w:p>
      <w:pPr>
        <w:spacing w:after="120" w:before="0" w:line="276"/>
        <w:jc w:val="both"/>
      </w:pPr>
      <w:r>
        <w:rPr>
          <w:rFonts w:ascii="Times New Roman" w:cs="Times New Roman" w:eastAsia="Times New Roman" w:hAnsi="Times New Roman"/>
          <w:sz w:val="26"/>
          <w:szCs w:val="26"/>
        </w:rPr>
        <w:t xml:space="preserve">Trên cùng nền đóng bảo hiểm của từng người, đơn vị trích nộp: bảo hiểm xã hội 17,5% (tiểu mục 6301) — gồm 3% quỹ ốm đau thai sản + 14% quỹ hưu trí tử tuất (Điều 34 Luật BHXH 41/2024) + 0,5% quỹ bảo hiểm tai nạn lao động, bệnh nghề nghiệp (văn bản hợp nhất 5/VBHN-BNV); bảo hiểm y tế 3% — hai phần ba của 4,5% (tiểu mục 6302, Nghị định 188/2025); bảo hiểm thất nghiệp 1% cho khối hợp đồng (tiểu mục 6304); kinh phí công đoàn 2% quỹ lương đóng bảo hiểm (tiểu mục 6303). Tổng cộng đơn vị nộp 21,5% cộng 2% kinh phí công đoàn; file hạch toán tài khoản 3321/511 (BHXH), 3322/511 (BHYT), 3324/511 (BHTN) và phân khai chi tiết theo từng nhóm đối tượng, từng khoản lương/phụ cấp để lên sheet Hạch toán.</w:t>
      </w:r>
    </w:p>
    <w:p>
      <w:pPr>
        <w:pStyle w:val="Heading1"/>
        <w:spacing w:after="160" w:before="280"/>
      </w:pPr>
      <w:r>
        <w:rPr>
          <w:rFonts w:ascii="Times New Roman" w:cs="Times New Roman" w:eastAsia="Times New Roman" w:hAnsi="Times New Roman"/>
          <w:b/>
          <w:bCs/>
          <w:sz w:val="28"/>
          <w:szCs w:val="28"/>
        </w:rPr>
        <w:t xml:space="preserve">VI. MA TRẬN CÁC TRƯỜNG HỢP ĐẶC THÙ (LOGIC CẮT/GIỮ TỪNG KHOẢN)</w:t>
      </w:r>
    </w:p>
    <w:p>
      <w:pPr>
        <w:spacing w:after="120" w:before="0" w:line="276"/>
        <w:jc w:val="both"/>
      </w:pPr>
      <w:r>
        <w:rPr>
          <w:rFonts w:ascii="Times New Roman" w:cs="Times New Roman" w:eastAsia="Times New Roman" w:hAnsi="Times New Roman"/>
          <w:sz w:val="26"/>
          <w:szCs w:val="26"/>
        </w:rPr>
        <w:t xml:space="preserve">Đây là phần phức tạp nhất và là lõi nghiệp vụ của phần mềm. File quản lý trạng thái từng người trong tháng bằng các cột: Về hưu, Nghỉ không lương (KL), Nghỉ hưởng bảo hiểm xã hội (BH), Chuyển công tác/Thôi việc, Thai sản (TS), Đi học/công tác (1 = từ 1 đến dưới 3 tháng; 3 = từ 3 tháng trở lên), Kỷ luật, Tập sự, và cột số ngày trả lương khi hưởng một phần tháng. Quy tắc tổng hợp từ công thức thực tế như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Trường hợp</w:t>
            </w:r>
          </w:p>
        </w:tc>
        <w:tc>
          <w:tcPr>
            <w:tcW w:type="dxa" w:w="685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Cách xử lý trong bảng lương</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Bình thường</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Hưởng đủ mọi khoản theo hệ số của tháng.</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Hưởng một phần tháng</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Mọi khoản hệ số = HS × LCS ÷ ngày công chuẩn × số ngày hưởng.</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Tập sự</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Lương và các phụ cấp tính theo lương hưởng 85%; không hưởng ưu đãi nghề; người hướng dẫn tập sự hưởng phụ cấp trách nhiệm 0,3.</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Thai sản (trong hạn chế độ)</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Cắt lương, phụ cấp chức vụ, khu vực, đặc biệt, công vụ, vượt khung, thâm niên HQ; GIỮ ưu đãi nghề (theo TTLT 94/2007) và vẫn được chia lương tăng thêm theo quy chế; không trích bảo hiểm (hưởng chế độ từ quỹ BHXH).</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Đi học/công tác 1 - dưới 3 tháng</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Cắt phụ cấp khu vực, đặc biệt, độc hại, bảo mật (các khoản gắn địa bàn/công việc); giữ lương, công vụ, ưu đãi nghề, thâm niên.</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Đi học từ 3 tháng trở lên</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Cắt thêm phụ cấp ưu đãi nghề (cả hai nguồn); sheet Di_hoc theo dõi từng quyết định, thời gian bắt đầu và số tháng học.</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Nghỉ không lương ≥1 tháng</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Cắt toàn bộ lương và phụ cấp; không trích bảo hiểm.</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Nghỉ hưởng chế độ BHXH (ốm dài ngày...)</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Cắt lương và phụ cấp tại đơn vị; không trích bảo hiểm; hoàn bảo hiểm đã trích nếu có.</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Về hưu / chuyển công tác / thôi việc</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Cắt từ tháng hiệu lực; vẫn nằm trong danh sách để xử lý truy lĩnh, truy thu, quyết toán thuế.</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Kỷ luật / đình chỉ</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Kéo dài thời gian nâng lương và tính vượt khung; đình chỉ tạm giam đóng BHYT bằng 4,5% của 50% tiền lương (Nghị định 188/2025); theo dõi để truy lĩnh nếu kết luận oan sai.</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Bổ nhiệm lại/điều động xuống chức vụ thấp hơn</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Bảo lưu chênh lệch hệ số phụ cấp chức vụ đến hạn ghi trong quyết định.</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Nâng ngạch làm giảm % ưu đãi nghề</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Bảo lưu chênh lệch (lương + ưu đãi nghề) cũ so với mới đến kỳ nâng bậc lương kế tiếp (QĐ 5415/QĐ-TCHQ).</w:t>
            </w:r>
          </w:p>
        </w:tc>
      </w:tr>
      <w:tr>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Giữ chức vụ DQTV dưới 15 ngày/tháng</w:t>
            </w:r>
          </w:p>
        </w:tc>
        <w:tc>
          <w:tcPr>
            <w:tcW w:type="dxa" w:w="68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Hưởng 50% phụ cấp chức vụ chỉ huy DQTV của tháng đó.</w:t>
            </w:r>
          </w:p>
        </w:tc>
      </w:tr>
    </w:tbl>
    <w:p>
      <w:pPr>
        <w:spacing w:after="120" w:before="0" w:line="276"/>
        <w:jc w:val="both"/>
      </w:pPr>
      <w:r>
        <w:rPr>
          <w:rFonts w:ascii="Times New Roman" w:cs="Times New Roman" w:eastAsia="Times New Roman" w:hAnsi="Times New Roman"/>
          <w:sz w:val="26"/>
          <w:szCs w:val="26"/>
        </w:rPr>
        <w:t xml:space="preserve"/>
      </w:r>
    </w:p>
    <w:p>
      <w:pPr>
        <w:pStyle w:val="Heading1"/>
        <w:spacing w:after="160" w:before="280"/>
      </w:pPr>
      <w:r>
        <w:rPr>
          <w:rFonts w:ascii="Times New Roman" w:cs="Times New Roman" w:eastAsia="Times New Roman" w:hAnsi="Times New Roman"/>
          <w:b/>
          <w:bCs/>
          <w:sz w:val="28"/>
          <w:szCs w:val="28"/>
        </w:rPr>
        <w:t xml:space="preserve">VII. HỆ THỐNG VĂN BẢN CĂN CỨ</w:t>
      </w:r>
    </w:p>
    <w:p>
      <w:pPr>
        <w:spacing w:after="120" w:before="0" w:line="276"/>
        <w:jc w:val="both"/>
      </w:pPr>
      <w:r>
        <w:rPr>
          <w:rFonts w:ascii="Times New Roman" w:cs="Times New Roman" w:eastAsia="Times New Roman" w:hAnsi="Times New Roman"/>
          <w:sz w:val="26"/>
          <w:szCs w:val="26"/>
        </w:rPr>
        <w:t xml:space="preserve">Các văn bản đã có trong thư mục và phạm vi điều chỉnh tương ứng: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c>
          <w:tcPr>
            <w:tcW w:type="dxa" w:w="355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Văn bản</w:t>
            </w:r>
          </w:p>
        </w:tc>
        <w:tc>
          <w:tcPr>
            <w:tcW w:type="dxa" w:w="5800"/>
            <w:shd w:fill="D9E2F3"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4"/>
                <w:szCs w:val="24"/>
              </w:rPr>
              <w:t xml:space="preserve">Nội dung áp dụng cho phần mềm</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Nghị định 204/2004/NĐ-CP ngày 14/12/2004</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Chế độ tiền lương CBCC: bảng hệ số lương theo ngạch, bậc; nguyên tắc xếp lương, phụ cấp.</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Thông tư 04/2005/TT-BNV ngày 05/01/2005</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Phụ cấp thâm niên vượt khung: 5% sau 3 năm bậc cuối (loại B, C: 2 năm), +1%/năm.</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Thông tư 09/2005/TT-BNV ngày 05/01/2005</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Phụ cấp đặc biệt 30%/50%/100% theo địa bàn; Vạn Gia áp 30%.</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Quyết định 07/2007/QĐ-TTg ngày 12/01/2007</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Phụ cấp ưu đãi nghề công chức hải quan: 10/15/20/25% theo ngạch.</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TTLT 94/2007/TTLT-BTC-BNV</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Hướng dẫn ưu đãi nghề hải quan: cách tính, các thời gian không được tính hưởng.</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TTLT 04/2009/TTLT-BNV-BTC</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Phụ cấp thâm niên nghề hải quan: 5% khi đủ 5 năm, +1%/năm; tính đóng BHXH.</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Nghị định 72/2020/NĐ-CP ngày 30/6/2020</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Phụ cấp chức vụ chỉ huy Dân quân tự vệ (mức tiền theo chức danh).</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Luật BHXH số 41/2024/QH15</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Mức đóng BHXH: NLĐ 8%; đơn vị 3% ốm đau thai sản + 14% hưu trí tử tuất.</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VBHN 5/VBHN-BNV (NĐ 58/2020)</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Mức đóng quỹ bảo hiểm TNLĐ-BNN 0,5% (đơn vị nộp).</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Luật BHYT — VBHN 22/VBHN-VPQH</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Đối tượng, trách nhiệm đóng BHYT.</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Nghị định 188/2025/NĐ-CP</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Mức đóng BHYT 4,5%: đơn vị 2/3 (3%), NLĐ 1/3 (1,5%); trường hợp tạm giam 4,5% của 50% lương.</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Nghị định 374/2025/NĐ-CP</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Bảo hiểm thất nghiệp: NLĐ 1%, đơn vị 1% (không áp dụng công chức).</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Luật Thuế TNCN số 109/2025/QH15 (HL 01/7/2026, kỳ thuế 2026)</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Biểu thuế 5 bậc mới; giảm trừ 15,5tr + 6,2tr/NPT; miễn thuế làm thêm giờ; giảm trừ y tế, giáo dục.</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Nghị định 253/2026/NĐ-CP ngày 30/6/2026</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Chi tiết thi hành: người phụ thuộc, nguyên tắc giảm trừ, khấu trừ hằng tháng theo biểu mới, giảm trừ y tế ≤23tr, giáo dục ≤24tr/năm.</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Thông tư 87/2026/TT-BTC ngày 30/6/2026</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Ngưỡng thu nhập người phụ thuộc ≤3tr/tháng; hồ sơ chứng minh người phụ thuộc.</w:t>
            </w:r>
          </w:p>
        </w:tc>
      </w:tr>
      <w:tr>
        <w:tc>
          <w:tcPr>
            <w:tcW w:type="dxa" w:w="355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Thông tư 15/2026/TT-BNV ngày 30/6/2026</w:t>
            </w:r>
          </w:p>
        </w:tc>
        <w:tc>
          <w:tcPr>
            <w:tcW w:type="dxa" w:w="5800"/>
            <w:tcMar>
              <w:top w:type="dxa" w:w="60"/>
              <w:left w:type="dxa" w:w="100"/>
              <w:bottom w:type="dxa" w:w="60"/>
              <w:right w:type="dxa" w:w="100"/>
            </w:tcMar>
          </w:tcPr>
          <w:p>
            <w:pPr>
              <w:spacing w:after="0"/>
              <w:jc w:val="left"/>
            </w:pPr>
            <w:r>
              <w:rPr>
                <w:rFonts w:ascii="Times New Roman" w:cs="Times New Roman" w:eastAsia="Times New Roman" w:hAnsi="Times New Roman"/>
                <w:sz w:val="24"/>
                <w:szCs w:val="24"/>
              </w:rPr>
              <w:t xml:space="preserve">Phụ lục địa bàn phụ cấp khu vực theo đơn vị hành chính mới (Hoành Mô 0,7; Quảng Đức, Vĩnh Thực 0,5; Móng Cái 0,2; Cẩm Phả 0,1...).</w:t>
            </w:r>
          </w:p>
        </w:tc>
      </w:tr>
    </w:tbl>
    <w:p>
      <w:pPr>
        <w:spacing w:after="12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sz w:val="26"/>
          <w:szCs w:val="26"/>
        </w:rPr>
        <w:t xml:space="preserve">Văn bản còn thiếu trong thư mục, đề nghị bổ sung để phần mềm dẫn đủ căn cứ: Nghị định 34/2012/NĐ-CP về phụ cấp công vụ 25%; văn bản điều chỉnh mức lương cơ sở lên 2.530.000 đồng từ 01/7/2026; văn bản cơ chế chi thu nhập tăng thêm 0,8 lần của ngành và quy chế phân loại A/B/C của Chi cục; Quyết định 5415/QĐ-TCHQ ngày 18/10/2022 về bảo lưu ưu đãi nghề; quy định mức khoán điện thoại, công tác phí của Cục/Chi cục; văn bản mức phụ cấp độc hại văn thư lưu trữ; Nghị định về tiền thưởng (Nghị định 73/2024/NĐ-CP về quỹ tiền thưởng nếu áp dụng); văn bản cập nhật mức phụ cấp Dân quân tự vệ theo lương cơ sở mới.</w:t>
      </w:r>
    </w:p>
    <w:p>
      <w:pPr>
        <w:pStyle w:val="Heading1"/>
        <w:spacing w:after="160" w:before="280"/>
      </w:pPr>
      <w:r>
        <w:rPr>
          <w:rFonts w:ascii="Times New Roman" w:cs="Times New Roman" w:eastAsia="Times New Roman" w:hAnsi="Times New Roman"/>
          <w:b/>
          <w:bCs/>
          <w:sz w:val="28"/>
          <w:szCs w:val="28"/>
        </w:rPr>
        <w:t xml:space="preserve">VIII. VÍ DỤ KIỂM CHỨNG TỪ SỐ LIỆU THỰC (đơn vị: nghìn đồng)</w:t>
      </w:r>
    </w:p>
    <w:p>
      <w:pPr>
        <w:spacing w:after="120" w:before="0" w:line="276"/>
        <w:jc w:val="both"/>
      </w:pPr>
      <w:r>
        <w:rPr>
          <w:rFonts w:ascii="Times New Roman" w:cs="Times New Roman" w:eastAsia="Times New Roman" w:hAnsi="Times New Roman"/>
          <w:sz w:val="26"/>
          <w:szCs w:val="26"/>
        </w:rPr>
        <w:t xml:space="preserve">Trường hợp 1 — công chức không chức vụ tại Móng Cái, hệ số lương 4,98, vượt khung 6%, thâm niên hải quan 24 năm, không người phụ thuộc: lương 4,98 × 2.530 = 12.599,4; khu vực 0,2 × 2.530 = 506; vượt khung 0,06 × 4,98 × 2.530 = 756; công vụ 25% × (4,98 + 0,299) × 2.530 = 3.338,8; thâm niên HQ 24% × (4,98 + 0,299) × 2.530 = 4.006,6; cộng lương tăng thêm 1.262,1 thành tổng thu nhập 22.468,9. Bảo hiểm 9,5% nền (4,98 + 0,299 + 1,584) × 2.530 = 1.649,4. Thu nhập chịu thuế = 22.468,9 − 506 (khu vực) − 4.006,6 (thâm niên) − 1.649,4 (bảo hiểm) = 16.306,9; trừ giảm trừ 15.500 còn 806,9; thuế bậc 1 = 40,3. Thực nhận 20.779,2.</w:t>
      </w:r>
    </w:p>
    <w:p>
      <w:pPr>
        <w:spacing w:after="120" w:before="0" w:line="276"/>
        <w:jc w:val="both"/>
      </w:pPr>
      <w:r>
        <w:rPr>
          <w:rFonts w:ascii="Times New Roman" w:cs="Times New Roman" w:eastAsia="Times New Roman" w:hAnsi="Times New Roman"/>
          <w:sz w:val="26"/>
          <w:szCs w:val="26"/>
        </w:rPr>
        <w:t xml:space="preserve">Trường hợp 2 — Đội trưởng tại Vạn Gia, hệ số 5,76, chức vụ 0,3 (+bảo lưu 0,25), ưu đãi nghề 15%, thâm niên 30%: được thêm khu vực 0,5 × 2.530 = 1.265 và đặc biệt 30% × (5,76 + 0,55) × 2.530 = 4.789,3 — hai khoản này không chịu thuế; tổng thu nhập 34.639,4, thuế chỉ 196,5 nhờ loại trừ đúng các khoản ưu đãi địa bàn.</w:t>
      </w:r>
    </w:p>
    <w:p>
      <w:pPr>
        <w:spacing w:after="120" w:before="0" w:line="276"/>
        <w:jc w:val="both"/>
      </w:pPr>
      <w:r>
        <w:rPr>
          <w:rFonts w:ascii="Times New Roman" w:cs="Times New Roman" w:eastAsia="Times New Roman" w:hAnsi="Times New Roman"/>
          <w:sz w:val="26"/>
          <w:szCs w:val="26"/>
        </w:rPr>
        <w:t xml:space="preserve">Trường hợp 3 — công chức nghỉ thai sản: lương, công vụ, bảo hiểm đều bằng 0; vẫn nhận ưu đãi nghề 1.351,0 và lương tăng thêm 638,4 — tổng 1.989,4, dưới ngưỡng thuế. Trường hợp 4 — đi học từ 3 tháng (Hoành Mô): mất khu vực 0,7 và toàn bộ ưu đãi nghề, còn lương + công vụ 7.400,2. Trường hợp 5 — nhân viên bảo vệ HD111TT lương thỏa thuận 7.000: trừ 10,5% bảo hiểm (735) còn 6.265, không phát sinh thuế sau giảm trừ.</w:t>
      </w:r>
    </w:p>
    <w:p>
      <w:pPr>
        <w:pStyle w:val="Heading1"/>
        <w:spacing w:after="160" w:before="280"/>
      </w:pPr>
      <w:r>
        <w:rPr>
          <w:rFonts w:ascii="Times New Roman" w:cs="Times New Roman" w:eastAsia="Times New Roman" w:hAnsi="Times New Roman"/>
          <w:b/>
          <w:bCs/>
          <w:sz w:val="28"/>
          <w:szCs w:val="28"/>
        </w:rPr>
        <w:t xml:space="preserve">IX. KHUYẾN NGHỊ THIẾT KẾ PHẦN MỀM</w:t>
      </w:r>
    </w:p>
    <w:p>
      <w:pPr>
        <w:spacing w:after="120" w:before="0" w:line="276"/>
        <w:jc w:val="both"/>
      </w:pPr>
      <w:r>
        <w:rPr>
          <w:rFonts w:ascii="Times New Roman" w:cs="Times New Roman" w:eastAsia="Times New Roman" w:hAnsi="Times New Roman"/>
          <w:sz w:val="26"/>
          <w:szCs w:val="26"/>
        </w:rPr>
        <w:t xml:space="preserve">Từ kết quả nghiên cứu, phần mềm nên tổ chức theo năm khối. Khối danh mục: bảng ngạch — bậc — hệ số (theo NĐ 204/2004), bảng chức vụ — hệ số PCCV — mức khoán điện thoại, bảng đơn vị — hệ số khu vực — phụ cấp đặc biệt (theo TT 15/2026), bảng vị trí HD111TT với 5 bậc thâm niên, bảng tỷ lệ ưu đãi nghề theo ngạch, bảng tham số kỳ lương (lương cơ sở, ngày công chuẩn, tháng/năm, giảm trừ gia cảnh, biểu thuế). Khối hồ sơ: thông tin từng người (mã, ngạch, bậc, hệ số, các mốc thâm niên, chức vụ và bảo lưu, đơn vị, mã số thuế, tài khoản, người phụ thuộc kèm thời hạn giảm trừ). Khối biến động tháng: trạng thái (thai sản, đi học, nghỉ..., số ngày hưởng), phân loại A/B cho lương tăng thêm, các khoản phát sinh (khen thưởng, lễ tết, truy lĩnh, truy thu, ủng hộ). Khối tính toán: thực thi đúng thứ tự hệ số → tiền → tổng thu nhập → bảo hiểm → thuế (biểu 5 bậc mới, phân bổ khoản nhiều tháng) → giảm trừ khác → thực nhận, kèm bộ quy tắc cắt/giữ ở mục VI. Khối đầu ra: bảng lương chi tiết và bản in, bảng bảo hiểm hai phía, bảng thuế, bảng kho bạc mẫu 09 kèm phân khai nguồn, sheet hạch toán theo tiểu mục mục lục ngân sách (6001, 6051, 6757, 6101, 6102, 6116, 6124, 6112, 6115, 6107, 6113, 6149, 6299, 6404, 6449, 6704, 6618, 6118, 6201, 7012, 6301—6304), file nhập IMAS và phiếu lương từng người.</w:t>
      </w:r>
    </w:p>
    <w:p>
      <w:pPr>
        <w:spacing w:after="120" w:before="0" w:line="276"/>
        <w:jc w:val="both"/>
      </w:pPr>
      <w:r>
        <w:rPr>
          <w:rFonts w:ascii="Times New Roman" w:cs="Times New Roman" w:eastAsia="Times New Roman" w:hAnsi="Times New Roman"/>
          <w:sz w:val="26"/>
          <w:szCs w:val="26"/>
        </w:rPr>
        <w:t xml:space="preserve">Ba việc cần chốt với kế toán trước khi lập trình: một là áp biểu thuế 5 bậc mới từ kỳ lương nào và cách xử lý chênh lệch các tháng 1—6/2026 khi quyết toán; hai là xác nhận danh mục khoản không chịu thuế theo Điều 8 Nghị định 253/2026 (đặc biệt cách xếp phụ cấp thâm niên hải quan và ưu đãi nghề hai nguồn mà file đang xử lý khác nhau); ba là mức phụ cấp Dân quân tự vệ và các mức khoán nội bộ theo lương cơ sở 2.530.000 đồng. Ngoài ra nên giữ nguyên tắc an toàn dữ liệu của Chi cục: phần mềm một file HTML tự chứa, lưu localStorage kèm xuất nhập Excel/JSON để sao lưu, có bước đối chiếu tổng với bảng Excel cũ ít nhất một kỳ lương song song trước khi chuyển hẳn.</w:t>
      </w:r>
    </w:p>
    <w:p>
      <w:pPr>
        <w:spacing w:after="120" w:before="0" w:line="276"/>
        <w:jc w:val="both"/>
      </w:pPr>
      <w:r>
        <w:rPr>
          <w:rFonts w:ascii="Times New Roman" w:cs="Times New Roman" w:eastAsia="Times New Roman" w:hAnsi="Times New Roman"/>
          <w:sz w:val="26"/>
          <w:szCs w:val="26"/>
        </w:rPr>
        <w:t xml:space="preserve"/>
      </w:r>
    </w:p>
    <w:p>
      <w:pPr>
        <w:spacing w:after="120" w:before="0" w:line="276"/>
        <w:jc w:val="both"/>
      </w:pPr>
      <w:r>
        <w:rPr>
          <w:rFonts w:ascii="Times New Roman" w:cs="Times New Roman" w:eastAsia="Times New Roman" w:hAnsi="Times New Roman"/>
          <w:i/>
          <w:iCs/>
          <w:sz w:val="26"/>
          <w:szCs w:val="26"/>
        </w:rPr>
        <w:t xml:space="preserve">Tài liệu này tổng hợp trung thực từ công thức thực tế của bảng lương tháng 8/2026 và nội dung 14 văn bản trong thư mục; các chỗ đánh dấu "cần bổ sung/cần chốt" là thông tin chưa có văn bản gốc trong thư mục, không suy đoán.</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2026-08-24T06:49:19.619Z</dcterms:created>
  <dcterms:modified xsi:type="dcterms:W3CDTF">2026-08-24T06:49:19.632Z</dcterms:modified>
</cp:coreProperties>
</file>

<file path=docProps/custom.xml><?xml version="1.0" encoding="utf-8"?>
<Properties xmlns="http://schemas.openxmlformats.org/officeDocument/2006/custom-properties" xmlns:vt="http://schemas.openxmlformats.org/officeDocument/2006/docPropsVTypes"/>
</file>