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1DD3" w14:textId="77777777" w:rsidR="004B0DD5" w:rsidRDefault="004B0DD5">
      <w:pPr>
        <w:spacing w:line="500" w:lineRule="atLeast"/>
        <w:jc w:val="center"/>
        <w:divId w:val="1630623135"/>
        <w:rPr>
          <w:rFonts w:ascii="黑体" w:eastAsia="黑体" w:hAnsi="黑体"/>
          <w:sz w:val="36"/>
          <w:szCs w:val="36"/>
        </w:rPr>
      </w:pPr>
      <w:r>
        <w:rPr>
          <w:rFonts w:ascii="黑体" w:eastAsia="黑体" w:hAnsi="黑体" w:hint="eastAsia"/>
          <w:sz w:val="36"/>
          <w:szCs w:val="36"/>
        </w:rPr>
        <w:t>广东省广州市番禺区人民法院</w:t>
      </w:r>
    </w:p>
    <w:p w14:paraId="6B9CD2A9" w14:textId="77777777" w:rsidR="004B0DD5" w:rsidRDefault="004B0DD5">
      <w:pPr>
        <w:spacing w:line="500" w:lineRule="atLeast"/>
        <w:jc w:val="center"/>
        <w:divId w:val="15216981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4A8145" w14:textId="77777777" w:rsidR="004B0DD5" w:rsidRDefault="004B0DD5">
      <w:pPr>
        <w:spacing w:line="500" w:lineRule="atLeast"/>
        <w:jc w:val="right"/>
        <w:divId w:val="4980758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2826</w:t>
      </w:r>
      <w:r>
        <w:rPr>
          <w:rFonts w:hint="eastAsia"/>
          <w:sz w:val="30"/>
          <w:szCs w:val="30"/>
        </w:rPr>
        <w:t>号</w:t>
      </w:r>
    </w:p>
    <w:p w14:paraId="174E3937" w14:textId="77777777" w:rsidR="004B0DD5" w:rsidRDefault="004B0DD5">
      <w:pPr>
        <w:spacing w:line="500" w:lineRule="atLeast"/>
        <w:ind w:firstLine="600"/>
        <w:divId w:val="1947883000"/>
        <w:rPr>
          <w:rFonts w:hint="eastAsia"/>
          <w:sz w:val="30"/>
          <w:szCs w:val="30"/>
        </w:rPr>
      </w:pPr>
      <w:r>
        <w:rPr>
          <w:rFonts w:hint="eastAsia"/>
          <w:sz w:val="30"/>
          <w:szCs w:val="30"/>
        </w:rPr>
        <w:t>公诉机关广东省广州市番禺区人民检察院。</w:t>
      </w:r>
    </w:p>
    <w:p w14:paraId="2EF5C447" w14:textId="77777777" w:rsidR="004B0DD5" w:rsidRDefault="004B0DD5">
      <w:pPr>
        <w:spacing w:line="500" w:lineRule="atLeast"/>
        <w:ind w:firstLine="600"/>
        <w:divId w:val="1053654259"/>
        <w:rPr>
          <w:rFonts w:hint="eastAsia"/>
          <w:sz w:val="30"/>
          <w:szCs w:val="30"/>
        </w:rPr>
      </w:pPr>
      <w:r>
        <w:rPr>
          <w:rFonts w:hint="eastAsia"/>
          <w:sz w:val="30"/>
          <w:szCs w:val="30"/>
        </w:rPr>
        <w:t>被告人丁静怡，女，</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日出生，汉族，文化程度高中，户籍地广东省广州市海珠区之一，原广州珠江工程建设监理有限公司第三工程项目管理公司文员兼报账员，因本案于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日被留置，同年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日被刑事拘留，同月</w:t>
      </w:r>
      <w:r>
        <w:rPr>
          <w:rFonts w:hint="eastAsia"/>
          <w:sz w:val="30"/>
          <w:szCs w:val="30"/>
        </w:rPr>
        <w:t>15</w:t>
      </w:r>
      <w:r>
        <w:rPr>
          <w:rFonts w:hint="eastAsia"/>
          <w:sz w:val="30"/>
          <w:szCs w:val="30"/>
        </w:rPr>
        <w:t>日被取保候审。</w:t>
      </w:r>
    </w:p>
    <w:p w14:paraId="2577B4B5" w14:textId="77777777" w:rsidR="004B0DD5" w:rsidRDefault="004B0DD5">
      <w:pPr>
        <w:spacing w:line="500" w:lineRule="atLeast"/>
        <w:ind w:firstLine="600"/>
        <w:divId w:val="796876692"/>
        <w:rPr>
          <w:rFonts w:hint="eastAsia"/>
          <w:sz w:val="30"/>
          <w:szCs w:val="30"/>
        </w:rPr>
      </w:pPr>
      <w:r>
        <w:rPr>
          <w:rFonts w:hint="eastAsia"/>
          <w:sz w:val="30"/>
          <w:szCs w:val="30"/>
        </w:rPr>
        <w:t>辩护人谭毅翔，广东旭瑞律师事务所律师。</w:t>
      </w:r>
    </w:p>
    <w:p w14:paraId="7C5C4038" w14:textId="77777777" w:rsidR="004B0DD5" w:rsidRDefault="004B0DD5">
      <w:pPr>
        <w:spacing w:line="500" w:lineRule="atLeast"/>
        <w:ind w:firstLine="600"/>
        <w:divId w:val="1200624538"/>
        <w:rPr>
          <w:rFonts w:hint="eastAsia"/>
          <w:sz w:val="30"/>
          <w:szCs w:val="30"/>
        </w:rPr>
      </w:pPr>
      <w:r>
        <w:rPr>
          <w:rFonts w:hint="eastAsia"/>
          <w:sz w:val="30"/>
          <w:szCs w:val="30"/>
        </w:rPr>
        <w:t>广东省广州市番禺区人民检察院以穗番检公刑诉〔</w:t>
      </w:r>
      <w:r>
        <w:rPr>
          <w:rFonts w:hint="eastAsia"/>
          <w:sz w:val="30"/>
          <w:szCs w:val="30"/>
        </w:rPr>
        <w:t>2018</w:t>
      </w:r>
      <w:r>
        <w:rPr>
          <w:rFonts w:hint="eastAsia"/>
          <w:sz w:val="30"/>
          <w:szCs w:val="30"/>
        </w:rPr>
        <w:t>〕</w:t>
      </w:r>
      <w:r>
        <w:rPr>
          <w:rFonts w:hint="eastAsia"/>
          <w:sz w:val="30"/>
          <w:szCs w:val="30"/>
        </w:rPr>
        <w:t>2592</w:t>
      </w:r>
      <w:r>
        <w:rPr>
          <w:rFonts w:hint="eastAsia"/>
          <w:sz w:val="30"/>
          <w:szCs w:val="30"/>
        </w:rPr>
        <w:t>号起诉书指控被告人丁静怡犯贪污罪，于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依照广州市中级人民法院指定管辖决定，依法适用简易程序，组成合议庭，公开开庭审理了本案。广东省广州市番禺区人民检察院指派检察员何蔚出庭支持公诉，被告人丁静怡及其辩护人谭毅翔到庭参加了诉讼。现已审理终结。</w:t>
      </w:r>
    </w:p>
    <w:p w14:paraId="7A189495" w14:textId="77777777" w:rsidR="004B0DD5" w:rsidRDefault="004B0DD5">
      <w:pPr>
        <w:spacing w:line="500" w:lineRule="atLeast"/>
        <w:ind w:firstLine="600"/>
        <w:divId w:val="200890083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时任广州珠江工程建设监理有限公司项目管理三公司文员的被告人丁静怡利用兼任该公司报账员的职务便利，在按照上级指示购买发票用于报销款项发放提成工资的过程中，多次通过高报税点的方式，侵吞公款共计人民币</w:t>
      </w:r>
      <w:r>
        <w:rPr>
          <w:rFonts w:hint="eastAsia"/>
          <w:sz w:val="30"/>
          <w:szCs w:val="30"/>
        </w:rPr>
        <w:t>124111</w:t>
      </w:r>
      <w:r>
        <w:rPr>
          <w:rFonts w:hint="eastAsia"/>
          <w:sz w:val="30"/>
          <w:szCs w:val="30"/>
        </w:rPr>
        <w:t>元。案发后，被告人丁静怡主动投案自首，并全额退还赃款。</w:t>
      </w:r>
    </w:p>
    <w:p w14:paraId="1C091C3B" w14:textId="77777777" w:rsidR="004B0DD5" w:rsidRDefault="004B0DD5">
      <w:pPr>
        <w:spacing w:line="500" w:lineRule="atLeast"/>
        <w:ind w:firstLine="600"/>
        <w:divId w:val="1730374147"/>
        <w:rPr>
          <w:rFonts w:hint="eastAsia"/>
          <w:sz w:val="30"/>
          <w:szCs w:val="30"/>
        </w:rPr>
      </w:pPr>
      <w:r>
        <w:rPr>
          <w:rFonts w:hint="eastAsia"/>
          <w:sz w:val="30"/>
          <w:szCs w:val="30"/>
        </w:rPr>
        <w:t>为认定上述事实，公诉机关提供了：</w:t>
      </w:r>
      <w:r>
        <w:rPr>
          <w:rFonts w:hint="eastAsia"/>
          <w:sz w:val="30"/>
          <w:szCs w:val="30"/>
        </w:rPr>
        <w:t>1.</w:t>
      </w:r>
      <w:r>
        <w:rPr>
          <w:rFonts w:hint="eastAsia"/>
          <w:sz w:val="30"/>
          <w:szCs w:val="30"/>
        </w:rPr>
        <w:t>物证；</w:t>
      </w:r>
      <w:r>
        <w:rPr>
          <w:rFonts w:hint="eastAsia"/>
          <w:sz w:val="30"/>
          <w:szCs w:val="30"/>
        </w:rPr>
        <w:t>2.</w:t>
      </w:r>
      <w:r>
        <w:rPr>
          <w:rFonts w:hint="eastAsia"/>
          <w:sz w:val="30"/>
          <w:szCs w:val="30"/>
        </w:rPr>
        <w:t>书证；</w:t>
      </w:r>
      <w:r>
        <w:rPr>
          <w:rFonts w:hint="eastAsia"/>
          <w:sz w:val="30"/>
          <w:szCs w:val="30"/>
        </w:rPr>
        <w:t>3.</w:t>
      </w:r>
      <w:r>
        <w:rPr>
          <w:rFonts w:hint="eastAsia"/>
          <w:sz w:val="30"/>
          <w:szCs w:val="30"/>
        </w:rPr>
        <w:t>证人证言；</w:t>
      </w:r>
      <w:r>
        <w:rPr>
          <w:rFonts w:hint="eastAsia"/>
          <w:sz w:val="30"/>
          <w:szCs w:val="30"/>
        </w:rPr>
        <w:t>4.</w:t>
      </w:r>
      <w:r>
        <w:rPr>
          <w:rFonts w:hint="eastAsia"/>
          <w:sz w:val="30"/>
          <w:szCs w:val="30"/>
        </w:rPr>
        <w:t>被告人的供述与辩解；</w:t>
      </w:r>
      <w:r>
        <w:rPr>
          <w:rFonts w:hint="eastAsia"/>
          <w:sz w:val="30"/>
          <w:szCs w:val="30"/>
        </w:rPr>
        <w:t>5.</w:t>
      </w:r>
      <w:r>
        <w:rPr>
          <w:rFonts w:hint="eastAsia"/>
          <w:sz w:val="30"/>
          <w:szCs w:val="30"/>
        </w:rPr>
        <w:t>鉴定意见；</w:t>
      </w:r>
      <w:r>
        <w:rPr>
          <w:rFonts w:hint="eastAsia"/>
          <w:sz w:val="30"/>
          <w:szCs w:val="30"/>
        </w:rPr>
        <w:t>6.</w:t>
      </w:r>
      <w:r>
        <w:rPr>
          <w:rFonts w:hint="eastAsia"/>
          <w:sz w:val="30"/>
          <w:szCs w:val="30"/>
        </w:rPr>
        <w:t>辨认笔录等。公诉机关认为，被告人丁静怡无视国家法律，身为国家工作人员，利用职务上的便利，侵吞公共财物，其行为均触犯了</w:t>
      </w:r>
      <w:r>
        <w:rPr>
          <w:rFonts w:hint="eastAsia"/>
          <w:sz w:val="30"/>
          <w:szCs w:val="30"/>
        </w:rPr>
        <w:lastRenderedPageBreak/>
        <w:t>《中华人民共和国刑法》第三百八十二条、第三百八十三条之规定，犯罪事实清楚，证据确实充分，应当以贪污罪追究其刑事责任。被告人丁静怡犯罪以后自动投案，如实供述自己的罪行，根据《中华人民共和国刑法》第六十七条第一款之规定，是自首，可以从轻或者减轻处罚。鉴于被告人丁静怡自愿认罪认罚，根据《中华人民共和国刑事诉讼法》第一百七十六条第二款之规定，建议判处其九个月至一年六个月有期徒刑，并处罚金，并可适用缓刑。提请本院依法判处。</w:t>
      </w:r>
    </w:p>
    <w:p w14:paraId="248CBFE7" w14:textId="77777777" w:rsidR="004B0DD5" w:rsidRDefault="004B0DD5">
      <w:pPr>
        <w:spacing w:line="500" w:lineRule="atLeast"/>
        <w:ind w:firstLine="600"/>
        <w:divId w:val="612396816"/>
        <w:rPr>
          <w:rFonts w:hint="eastAsia"/>
          <w:sz w:val="30"/>
          <w:szCs w:val="30"/>
        </w:rPr>
      </w:pPr>
      <w:r>
        <w:rPr>
          <w:rFonts w:hint="eastAsia"/>
          <w:sz w:val="30"/>
          <w:szCs w:val="30"/>
        </w:rPr>
        <w:t>被告人丁静怡承认控罪，没有辩解。</w:t>
      </w:r>
    </w:p>
    <w:p w14:paraId="46AACACC" w14:textId="77777777" w:rsidR="004B0DD5" w:rsidRDefault="004B0DD5">
      <w:pPr>
        <w:spacing w:line="500" w:lineRule="atLeast"/>
        <w:ind w:firstLine="600"/>
        <w:divId w:val="1527525634"/>
        <w:rPr>
          <w:rFonts w:hint="eastAsia"/>
          <w:sz w:val="30"/>
          <w:szCs w:val="30"/>
        </w:rPr>
      </w:pPr>
      <w:r>
        <w:rPr>
          <w:rFonts w:hint="eastAsia"/>
          <w:sz w:val="30"/>
          <w:szCs w:val="30"/>
        </w:rPr>
        <w:t>辩护人对公诉机关指控的罪名不持异议，认为：被告人有自首情节，在庭审主动承认自己的罪行，考虑被告人是初犯，请求从轻处罚并适用缓刑。</w:t>
      </w:r>
    </w:p>
    <w:p w14:paraId="2132D1B2" w14:textId="77777777" w:rsidR="004B0DD5" w:rsidRDefault="004B0DD5">
      <w:pPr>
        <w:spacing w:line="500" w:lineRule="atLeast"/>
        <w:ind w:firstLine="600"/>
        <w:divId w:val="80269480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时任广州珠江工程建设监理有限公司项目管理三公司文员的被告人丁静怡利用兼任该公司报账员的职务便利，在按照上级指示购买发票用于报销款项发放提成工资的过程中，多次通过高报税点的方式，侵吞公款共计人民币</w:t>
      </w:r>
      <w:r>
        <w:rPr>
          <w:rFonts w:hint="eastAsia"/>
          <w:sz w:val="30"/>
          <w:szCs w:val="30"/>
        </w:rPr>
        <w:t>124111</w:t>
      </w:r>
      <w:r>
        <w:rPr>
          <w:rFonts w:hint="eastAsia"/>
          <w:sz w:val="30"/>
          <w:szCs w:val="30"/>
        </w:rPr>
        <w:t>元。案发后，被告人丁静怡主动投案自首，并全额退还赃款。</w:t>
      </w:r>
    </w:p>
    <w:p w14:paraId="35A36E7C" w14:textId="77777777" w:rsidR="004B0DD5" w:rsidRDefault="004B0DD5">
      <w:pPr>
        <w:spacing w:line="500" w:lineRule="atLeast"/>
        <w:ind w:firstLine="600"/>
        <w:divId w:val="919873276"/>
        <w:rPr>
          <w:rFonts w:hint="eastAsia"/>
          <w:sz w:val="30"/>
          <w:szCs w:val="30"/>
        </w:rPr>
      </w:pPr>
      <w:r>
        <w:rPr>
          <w:rFonts w:hint="eastAsia"/>
          <w:sz w:val="30"/>
          <w:szCs w:val="30"/>
        </w:rPr>
        <w:t>以上事实，被告人丁静怡在庭审过程中亦予以供认，且有被害单位财务部经理区某的陈述，证人卢某、胡某某、刘某</w:t>
      </w:r>
      <w:r>
        <w:rPr>
          <w:rFonts w:hint="eastAsia"/>
          <w:sz w:val="30"/>
          <w:szCs w:val="30"/>
        </w:rPr>
        <w:t>1</w:t>
      </w:r>
      <w:r>
        <w:rPr>
          <w:rFonts w:hint="eastAsia"/>
          <w:sz w:val="30"/>
          <w:szCs w:val="30"/>
        </w:rPr>
        <w:t>、罗某、严某、胡某、邓某、刘某</w:t>
      </w:r>
      <w:r>
        <w:rPr>
          <w:rFonts w:hint="eastAsia"/>
          <w:sz w:val="30"/>
          <w:szCs w:val="30"/>
        </w:rPr>
        <w:t>2</w:t>
      </w:r>
      <w:r>
        <w:rPr>
          <w:rFonts w:hint="eastAsia"/>
          <w:sz w:val="30"/>
          <w:szCs w:val="30"/>
        </w:rPr>
        <w:t>、戴某</w:t>
      </w:r>
      <w:r>
        <w:rPr>
          <w:rFonts w:hint="eastAsia"/>
          <w:sz w:val="30"/>
          <w:szCs w:val="30"/>
        </w:rPr>
        <w:t>1</w:t>
      </w:r>
      <w:r>
        <w:rPr>
          <w:rFonts w:hint="eastAsia"/>
          <w:sz w:val="30"/>
          <w:szCs w:val="30"/>
        </w:rPr>
        <w:t>的证言，被告人的供述，广州市番禺区监察委员会询问笔录，留置通知书，调取证据通知书，内账账本盘点备忘录，记账本，银行账户交易明细，扣押决定书，虚开发票，费用报销台账、费用报销单、支付证明单，审计报告，职务证明，劳动合同，证明，珠江监理第三项目管理公司有关情况的说明，营业执照、企业产权登记表，破案经过等证据证实，足以认定。</w:t>
      </w:r>
    </w:p>
    <w:p w14:paraId="59D25633" w14:textId="77777777" w:rsidR="004B0DD5" w:rsidRDefault="004B0DD5">
      <w:pPr>
        <w:spacing w:line="500" w:lineRule="atLeast"/>
        <w:ind w:firstLine="600"/>
        <w:divId w:val="445659462"/>
        <w:rPr>
          <w:rFonts w:hint="eastAsia"/>
          <w:sz w:val="30"/>
          <w:szCs w:val="30"/>
        </w:rPr>
      </w:pPr>
      <w:r>
        <w:rPr>
          <w:rFonts w:hint="eastAsia"/>
          <w:sz w:val="30"/>
          <w:szCs w:val="30"/>
        </w:rPr>
        <w:t>本院认为，被告人丁静怡无视国家法律，身为国家工作人员，利用职务上的便利，侵吞公共财物，其行为均已构成贪污罪。公诉机关指控丁静怡犯贪污罪事实清楚，证据确实、充分，指控罪名成立，依法应当对其适用“三年以下有期徒刑或者拘役，并处罚金”的量刑幅度予以处罚。被告人丁静怡犯罪后自动投案，如实供述自己的罪行，是自首，依法可以从轻处罚。被告人丁静怡自愿签署《认罪认罚具结书》，依法可以从宽处理。被告人已退出全部赃款，有悔罪表现，酌情从轻处罚。辩护人的辩护意见基本符合本案事实，本院予以采纳。公诉机关关于对被告人判处有期徒刑九个月至一年六个月，并处罚金，并可适用缓刑的量刑意见，本院予以采纳。依照《中华人民共和国刑法》第三百八十二条、第三百八十三条、第六十七条第一款、第五十二条、第五十三条、第七十二条、第七十三条、第六十四条、《最高人民法院、最高人民检察院关于办理贪污贿赂刑事案件适用法律若干问题的解释》第一条第一款、第十九条第一款的规定，判决如下：</w:t>
      </w:r>
    </w:p>
    <w:p w14:paraId="7541C37B" w14:textId="77777777" w:rsidR="004B0DD5" w:rsidRDefault="004B0DD5">
      <w:pPr>
        <w:spacing w:line="500" w:lineRule="atLeast"/>
        <w:ind w:firstLine="600"/>
        <w:divId w:val="1352954997"/>
        <w:rPr>
          <w:rFonts w:hint="eastAsia"/>
          <w:sz w:val="30"/>
          <w:szCs w:val="30"/>
        </w:rPr>
      </w:pPr>
      <w:r>
        <w:rPr>
          <w:rFonts w:hint="eastAsia"/>
          <w:sz w:val="30"/>
          <w:szCs w:val="30"/>
        </w:rPr>
        <w:t>一、被告人丁静怡犯贪污罪，判处有期徒刑九个月，缓刑一年，并处罚金人民币十万元（缓刑考验期限从判决确定之日起计算；罚金应于本判决发生法律效力次日起十日内向本院缴纳，上缴国库）。</w:t>
      </w:r>
    </w:p>
    <w:p w14:paraId="76F54788" w14:textId="77777777" w:rsidR="004B0DD5" w:rsidRDefault="004B0DD5">
      <w:pPr>
        <w:spacing w:line="500" w:lineRule="atLeast"/>
        <w:ind w:firstLine="600"/>
        <w:divId w:val="1352225230"/>
        <w:rPr>
          <w:rFonts w:hint="eastAsia"/>
          <w:sz w:val="30"/>
          <w:szCs w:val="30"/>
        </w:rPr>
      </w:pPr>
      <w:r>
        <w:rPr>
          <w:rFonts w:hint="eastAsia"/>
          <w:sz w:val="30"/>
          <w:szCs w:val="30"/>
        </w:rPr>
        <w:t>二、被告人丁静怡退出的赃款人民币</w:t>
      </w:r>
      <w:r>
        <w:rPr>
          <w:rFonts w:hint="eastAsia"/>
          <w:sz w:val="30"/>
          <w:szCs w:val="30"/>
        </w:rPr>
        <w:t>124111</w:t>
      </w:r>
      <w:r>
        <w:rPr>
          <w:rFonts w:hint="eastAsia"/>
          <w:sz w:val="30"/>
          <w:szCs w:val="30"/>
        </w:rPr>
        <w:t>元，予以没收上缴国库（该款项现存于广州市番禺区监察委员会）。</w:t>
      </w:r>
    </w:p>
    <w:p w14:paraId="3AC6245E" w14:textId="77777777" w:rsidR="004B0DD5" w:rsidRDefault="004B0DD5">
      <w:pPr>
        <w:spacing w:line="500" w:lineRule="atLeast"/>
        <w:ind w:firstLine="600"/>
        <w:divId w:val="20395758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E6DFCA5" w14:textId="77777777" w:rsidR="004B0DD5" w:rsidRDefault="004B0DD5">
      <w:pPr>
        <w:spacing w:line="500" w:lineRule="atLeast"/>
        <w:jc w:val="right"/>
        <w:divId w:val="1712222660"/>
        <w:rPr>
          <w:rFonts w:hint="eastAsia"/>
          <w:sz w:val="30"/>
          <w:szCs w:val="30"/>
        </w:rPr>
      </w:pPr>
      <w:r>
        <w:rPr>
          <w:rFonts w:hint="eastAsia"/>
          <w:sz w:val="30"/>
          <w:szCs w:val="30"/>
        </w:rPr>
        <w:t>审　判　长　　陈善波</w:t>
      </w:r>
    </w:p>
    <w:p w14:paraId="3C821F42" w14:textId="77777777" w:rsidR="004B0DD5" w:rsidRDefault="004B0DD5">
      <w:pPr>
        <w:spacing w:line="500" w:lineRule="atLeast"/>
        <w:jc w:val="right"/>
        <w:divId w:val="393817590"/>
        <w:rPr>
          <w:rFonts w:hint="eastAsia"/>
          <w:sz w:val="30"/>
          <w:szCs w:val="30"/>
        </w:rPr>
      </w:pPr>
      <w:r>
        <w:rPr>
          <w:rFonts w:hint="eastAsia"/>
          <w:sz w:val="30"/>
          <w:szCs w:val="30"/>
        </w:rPr>
        <w:t>人民陪审员　　周兆娟</w:t>
      </w:r>
    </w:p>
    <w:p w14:paraId="66F5EE3B" w14:textId="77777777" w:rsidR="004B0DD5" w:rsidRDefault="004B0DD5">
      <w:pPr>
        <w:spacing w:line="500" w:lineRule="atLeast"/>
        <w:jc w:val="right"/>
        <w:divId w:val="1152058858"/>
        <w:rPr>
          <w:rFonts w:hint="eastAsia"/>
          <w:sz w:val="30"/>
          <w:szCs w:val="30"/>
        </w:rPr>
      </w:pPr>
      <w:r>
        <w:rPr>
          <w:rFonts w:hint="eastAsia"/>
          <w:sz w:val="30"/>
          <w:szCs w:val="30"/>
        </w:rPr>
        <w:t>人民陪审员　　邢毅力</w:t>
      </w:r>
    </w:p>
    <w:p w14:paraId="03C143AD" w14:textId="77777777" w:rsidR="004B0DD5" w:rsidRDefault="004B0DD5">
      <w:pPr>
        <w:spacing w:line="500" w:lineRule="atLeast"/>
        <w:jc w:val="right"/>
        <w:divId w:val="1688406770"/>
        <w:rPr>
          <w:rFonts w:hint="eastAsia"/>
          <w:sz w:val="30"/>
          <w:szCs w:val="30"/>
        </w:rPr>
      </w:pPr>
      <w:r>
        <w:rPr>
          <w:rFonts w:hint="eastAsia"/>
          <w:sz w:val="30"/>
          <w:szCs w:val="30"/>
        </w:rPr>
        <w:t>二〇一九年四月九日</w:t>
      </w:r>
    </w:p>
    <w:p w14:paraId="284DE917" w14:textId="77777777" w:rsidR="004B0DD5" w:rsidRDefault="004B0DD5">
      <w:pPr>
        <w:spacing w:line="500" w:lineRule="atLeast"/>
        <w:jc w:val="right"/>
        <w:divId w:val="1719891736"/>
        <w:rPr>
          <w:rFonts w:hint="eastAsia"/>
          <w:sz w:val="30"/>
          <w:szCs w:val="30"/>
        </w:rPr>
      </w:pPr>
      <w:r>
        <w:rPr>
          <w:rFonts w:hint="eastAsia"/>
          <w:sz w:val="30"/>
          <w:szCs w:val="30"/>
        </w:rPr>
        <w:t>书　记　员　　叶泳甄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C0201" w14:textId="77777777" w:rsidR="004B0DD5" w:rsidRDefault="004B0DD5" w:rsidP="004B0DD5">
      <w:pPr>
        <w:rPr>
          <w:rFonts w:hint="eastAsia"/>
        </w:rPr>
      </w:pPr>
      <w:r>
        <w:separator/>
      </w:r>
    </w:p>
  </w:endnote>
  <w:endnote w:type="continuationSeparator" w:id="0">
    <w:p w14:paraId="03A9CA0A" w14:textId="77777777" w:rsidR="004B0DD5" w:rsidRDefault="004B0DD5" w:rsidP="004B0D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E6CD1" w14:textId="77777777" w:rsidR="004B0DD5" w:rsidRDefault="004B0DD5" w:rsidP="004B0DD5">
      <w:pPr>
        <w:rPr>
          <w:rFonts w:hint="eastAsia"/>
        </w:rPr>
      </w:pPr>
      <w:r>
        <w:separator/>
      </w:r>
    </w:p>
  </w:footnote>
  <w:footnote w:type="continuationSeparator" w:id="0">
    <w:p w14:paraId="56FDC659" w14:textId="77777777" w:rsidR="004B0DD5" w:rsidRDefault="004B0DD5" w:rsidP="004B0D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0DD5"/>
    <w:rsid w:val="002A784C"/>
    <w:rsid w:val="004B0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6FD2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0DD5"/>
    <w:pPr>
      <w:tabs>
        <w:tab w:val="center" w:pos="4153"/>
        <w:tab w:val="right" w:pos="8306"/>
      </w:tabs>
      <w:snapToGrid w:val="0"/>
      <w:jc w:val="center"/>
    </w:pPr>
    <w:rPr>
      <w:sz w:val="18"/>
      <w:szCs w:val="18"/>
    </w:rPr>
  </w:style>
  <w:style w:type="character" w:customStyle="1" w:styleId="a4">
    <w:name w:val="页眉 字符"/>
    <w:basedOn w:val="a0"/>
    <w:link w:val="a3"/>
    <w:uiPriority w:val="99"/>
    <w:rsid w:val="004B0DD5"/>
    <w:rPr>
      <w:rFonts w:ascii="宋体" w:eastAsia="宋体" w:hAnsi="宋体" w:cs="宋体"/>
      <w:sz w:val="18"/>
      <w:szCs w:val="18"/>
    </w:rPr>
  </w:style>
  <w:style w:type="paragraph" w:styleId="a5">
    <w:name w:val="footer"/>
    <w:basedOn w:val="a"/>
    <w:link w:val="a6"/>
    <w:uiPriority w:val="99"/>
    <w:unhideWhenUsed/>
    <w:rsid w:val="004B0DD5"/>
    <w:pPr>
      <w:tabs>
        <w:tab w:val="center" w:pos="4153"/>
        <w:tab w:val="right" w:pos="8306"/>
      </w:tabs>
      <w:snapToGrid w:val="0"/>
    </w:pPr>
    <w:rPr>
      <w:sz w:val="18"/>
      <w:szCs w:val="18"/>
    </w:rPr>
  </w:style>
  <w:style w:type="character" w:customStyle="1" w:styleId="a6">
    <w:name w:val="页脚 字符"/>
    <w:basedOn w:val="a0"/>
    <w:link w:val="a5"/>
    <w:uiPriority w:val="99"/>
    <w:rsid w:val="004B0D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7580">
      <w:marLeft w:val="0"/>
      <w:marRight w:val="0"/>
      <w:marTop w:val="10"/>
      <w:marBottom w:val="10"/>
      <w:divBdr>
        <w:top w:val="none" w:sz="0" w:space="0" w:color="auto"/>
        <w:left w:val="none" w:sz="0" w:space="0" w:color="auto"/>
        <w:bottom w:val="none" w:sz="0" w:space="0" w:color="auto"/>
        <w:right w:val="none" w:sz="0" w:space="0" w:color="auto"/>
      </w:divBdr>
    </w:div>
    <w:div w:id="393817590">
      <w:marLeft w:val="0"/>
      <w:marRight w:val="720"/>
      <w:marTop w:val="10"/>
      <w:marBottom w:val="10"/>
      <w:divBdr>
        <w:top w:val="none" w:sz="0" w:space="0" w:color="auto"/>
        <w:left w:val="none" w:sz="0" w:space="0" w:color="auto"/>
        <w:bottom w:val="none" w:sz="0" w:space="0" w:color="auto"/>
        <w:right w:val="none" w:sz="0" w:space="0" w:color="auto"/>
      </w:divBdr>
    </w:div>
    <w:div w:id="445659462">
      <w:marLeft w:val="0"/>
      <w:marRight w:val="0"/>
      <w:marTop w:val="10"/>
      <w:marBottom w:val="10"/>
      <w:divBdr>
        <w:top w:val="none" w:sz="0" w:space="0" w:color="auto"/>
        <w:left w:val="none" w:sz="0" w:space="0" w:color="auto"/>
        <w:bottom w:val="none" w:sz="0" w:space="0" w:color="auto"/>
        <w:right w:val="none" w:sz="0" w:space="0" w:color="auto"/>
      </w:divBdr>
    </w:div>
    <w:div w:id="612396816">
      <w:marLeft w:val="0"/>
      <w:marRight w:val="0"/>
      <w:marTop w:val="10"/>
      <w:marBottom w:val="10"/>
      <w:divBdr>
        <w:top w:val="none" w:sz="0" w:space="0" w:color="auto"/>
        <w:left w:val="none" w:sz="0" w:space="0" w:color="auto"/>
        <w:bottom w:val="none" w:sz="0" w:space="0" w:color="auto"/>
        <w:right w:val="none" w:sz="0" w:space="0" w:color="auto"/>
      </w:divBdr>
    </w:div>
    <w:div w:id="796876692">
      <w:marLeft w:val="0"/>
      <w:marRight w:val="0"/>
      <w:marTop w:val="10"/>
      <w:marBottom w:val="10"/>
      <w:divBdr>
        <w:top w:val="none" w:sz="0" w:space="0" w:color="auto"/>
        <w:left w:val="none" w:sz="0" w:space="0" w:color="auto"/>
        <w:bottom w:val="none" w:sz="0" w:space="0" w:color="auto"/>
        <w:right w:val="none" w:sz="0" w:space="0" w:color="auto"/>
      </w:divBdr>
    </w:div>
    <w:div w:id="802694802">
      <w:marLeft w:val="0"/>
      <w:marRight w:val="0"/>
      <w:marTop w:val="10"/>
      <w:marBottom w:val="10"/>
      <w:divBdr>
        <w:top w:val="none" w:sz="0" w:space="0" w:color="auto"/>
        <w:left w:val="none" w:sz="0" w:space="0" w:color="auto"/>
        <w:bottom w:val="none" w:sz="0" w:space="0" w:color="auto"/>
        <w:right w:val="none" w:sz="0" w:space="0" w:color="auto"/>
      </w:divBdr>
    </w:div>
    <w:div w:id="919873276">
      <w:marLeft w:val="0"/>
      <w:marRight w:val="0"/>
      <w:marTop w:val="10"/>
      <w:marBottom w:val="10"/>
      <w:divBdr>
        <w:top w:val="none" w:sz="0" w:space="0" w:color="auto"/>
        <w:left w:val="none" w:sz="0" w:space="0" w:color="auto"/>
        <w:bottom w:val="none" w:sz="0" w:space="0" w:color="auto"/>
        <w:right w:val="none" w:sz="0" w:space="0" w:color="auto"/>
      </w:divBdr>
    </w:div>
    <w:div w:id="1053654259">
      <w:marLeft w:val="0"/>
      <w:marRight w:val="0"/>
      <w:marTop w:val="10"/>
      <w:marBottom w:val="10"/>
      <w:divBdr>
        <w:top w:val="none" w:sz="0" w:space="0" w:color="auto"/>
        <w:left w:val="none" w:sz="0" w:space="0" w:color="auto"/>
        <w:bottom w:val="none" w:sz="0" w:space="0" w:color="auto"/>
        <w:right w:val="none" w:sz="0" w:space="0" w:color="auto"/>
      </w:divBdr>
    </w:div>
    <w:div w:id="1152058858">
      <w:marLeft w:val="0"/>
      <w:marRight w:val="720"/>
      <w:marTop w:val="10"/>
      <w:marBottom w:val="10"/>
      <w:divBdr>
        <w:top w:val="none" w:sz="0" w:space="0" w:color="auto"/>
        <w:left w:val="none" w:sz="0" w:space="0" w:color="auto"/>
        <w:bottom w:val="none" w:sz="0" w:space="0" w:color="auto"/>
        <w:right w:val="none" w:sz="0" w:space="0" w:color="auto"/>
      </w:divBdr>
    </w:div>
    <w:div w:id="1200624538">
      <w:marLeft w:val="0"/>
      <w:marRight w:val="0"/>
      <w:marTop w:val="10"/>
      <w:marBottom w:val="10"/>
      <w:divBdr>
        <w:top w:val="none" w:sz="0" w:space="0" w:color="auto"/>
        <w:left w:val="none" w:sz="0" w:space="0" w:color="auto"/>
        <w:bottom w:val="none" w:sz="0" w:space="0" w:color="auto"/>
        <w:right w:val="none" w:sz="0" w:space="0" w:color="auto"/>
      </w:divBdr>
    </w:div>
    <w:div w:id="1352225230">
      <w:marLeft w:val="0"/>
      <w:marRight w:val="0"/>
      <w:marTop w:val="10"/>
      <w:marBottom w:val="10"/>
      <w:divBdr>
        <w:top w:val="none" w:sz="0" w:space="0" w:color="auto"/>
        <w:left w:val="none" w:sz="0" w:space="0" w:color="auto"/>
        <w:bottom w:val="none" w:sz="0" w:space="0" w:color="auto"/>
        <w:right w:val="none" w:sz="0" w:space="0" w:color="auto"/>
      </w:divBdr>
    </w:div>
    <w:div w:id="1352954997">
      <w:marLeft w:val="0"/>
      <w:marRight w:val="0"/>
      <w:marTop w:val="10"/>
      <w:marBottom w:val="10"/>
      <w:divBdr>
        <w:top w:val="none" w:sz="0" w:space="0" w:color="auto"/>
        <w:left w:val="none" w:sz="0" w:space="0" w:color="auto"/>
        <w:bottom w:val="none" w:sz="0" w:space="0" w:color="auto"/>
        <w:right w:val="none" w:sz="0" w:space="0" w:color="auto"/>
      </w:divBdr>
    </w:div>
    <w:div w:id="1521698164">
      <w:marLeft w:val="0"/>
      <w:marRight w:val="0"/>
      <w:marTop w:val="10"/>
      <w:marBottom w:val="10"/>
      <w:divBdr>
        <w:top w:val="none" w:sz="0" w:space="0" w:color="auto"/>
        <w:left w:val="none" w:sz="0" w:space="0" w:color="auto"/>
        <w:bottom w:val="none" w:sz="0" w:space="0" w:color="auto"/>
        <w:right w:val="none" w:sz="0" w:space="0" w:color="auto"/>
      </w:divBdr>
    </w:div>
    <w:div w:id="1527525634">
      <w:marLeft w:val="0"/>
      <w:marRight w:val="0"/>
      <w:marTop w:val="10"/>
      <w:marBottom w:val="10"/>
      <w:divBdr>
        <w:top w:val="none" w:sz="0" w:space="0" w:color="auto"/>
        <w:left w:val="none" w:sz="0" w:space="0" w:color="auto"/>
        <w:bottom w:val="none" w:sz="0" w:space="0" w:color="auto"/>
        <w:right w:val="none" w:sz="0" w:space="0" w:color="auto"/>
      </w:divBdr>
    </w:div>
    <w:div w:id="1630623135">
      <w:marLeft w:val="0"/>
      <w:marRight w:val="0"/>
      <w:marTop w:val="10"/>
      <w:marBottom w:val="10"/>
      <w:divBdr>
        <w:top w:val="none" w:sz="0" w:space="0" w:color="auto"/>
        <w:left w:val="none" w:sz="0" w:space="0" w:color="auto"/>
        <w:bottom w:val="none" w:sz="0" w:space="0" w:color="auto"/>
        <w:right w:val="none" w:sz="0" w:space="0" w:color="auto"/>
      </w:divBdr>
    </w:div>
    <w:div w:id="1688406770">
      <w:marLeft w:val="0"/>
      <w:marRight w:val="720"/>
      <w:marTop w:val="10"/>
      <w:marBottom w:val="10"/>
      <w:divBdr>
        <w:top w:val="none" w:sz="0" w:space="0" w:color="auto"/>
        <w:left w:val="none" w:sz="0" w:space="0" w:color="auto"/>
        <w:bottom w:val="none" w:sz="0" w:space="0" w:color="auto"/>
        <w:right w:val="none" w:sz="0" w:space="0" w:color="auto"/>
      </w:divBdr>
    </w:div>
    <w:div w:id="1712222660">
      <w:marLeft w:val="0"/>
      <w:marRight w:val="720"/>
      <w:marTop w:val="10"/>
      <w:marBottom w:val="10"/>
      <w:divBdr>
        <w:top w:val="none" w:sz="0" w:space="0" w:color="auto"/>
        <w:left w:val="none" w:sz="0" w:space="0" w:color="auto"/>
        <w:bottom w:val="none" w:sz="0" w:space="0" w:color="auto"/>
        <w:right w:val="none" w:sz="0" w:space="0" w:color="auto"/>
      </w:divBdr>
    </w:div>
    <w:div w:id="1719891736">
      <w:marLeft w:val="0"/>
      <w:marRight w:val="720"/>
      <w:marTop w:val="10"/>
      <w:marBottom w:val="10"/>
      <w:divBdr>
        <w:top w:val="none" w:sz="0" w:space="0" w:color="auto"/>
        <w:left w:val="none" w:sz="0" w:space="0" w:color="auto"/>
        <w:bottom w:val="none" w:sz="0" w:space="0" w:color="auto"/>
        <w:right w:val="none" w:sz="0" w:space="0" w:color="auto"/>
      </w:divBdr>
    </w:div>
    <w:div w:id="1730374147">
      <w:marLeft w:val="0"/>
      <w:marRight w:val="0"/>
      <w:marTop w:val="10"/>
      <w:marBottom w:val="10"/>
      <w:divBdr>
        <w:top w:val="none" w:sz="0" w:space="0" w:color="auto"/>
        <w:left w:val="none" w:sz="0" w:space="0" w:color="auto"/>
        <w:bottom w:val="none" w:sz="0" w:space="0" w:color="auto"/>
        <w:right w:val="none" w:sz="0" w:space="0" w:color="auto"/>
      </w:divBdr>
    </w:div>
    <w:div w:id="1947883000">
      <w:marLeft w:val="0"/>
      <w:marRight w:val="0"/>
      <w:marTop w:val="10"/>
      <w:marBottom w:val="10"/>
      <w:divBdr>
        <w:top w:val="none" w:sz="0" w:space="0" w:color="auto"/>
        <w:left w:val="none" w:sz="0" w:space="0" w:color="auto"/>
        <w:bottom w:val="none" w:sz="0" w:space="0" w:color="auto"/>
        <w:right w:val="none" w:sz="0" w:space="0" w:color="auto"/>
      </w:divBdr>
    </w:div>
    <w:div w:id="2008900831">
      <w:marLeft w:val="0"/>
      <w:marRight w:val="0"/>
      <w:marTop w:val="10"/>
      <w:marBottom w:val="10"/>
      <w:divBdr>
        <w:top w:val="none" w:sz="0" w:space="0" w:color="auto"/>
        <w:left w:val="none" w:sz="0" w:space="0" w:color="auto"/>
        <w:bottom w:val="none" w:sz="0" w:space="0" w:color="auto"/>
        <w:right w:val="none" w:sz="0" w:space="0" w:color="auto"/>
      </w:divBdr>
    </w:div>
    <w:div w:id="20395758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