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6076" w14:textId="77777777" w:rsidR="00A15CE0" w:rsidRDefault="00A15CE0">
      <w:pPr>
        <w:spacing w:line="500" w:lineRule="atLeast"/>
        <w:jc w:val="center"/>
        <w:divId w:val="1616788948"/>
        <w:rPr>
          <w:rFonts w:ascii="黑体" w:eastAsia="黑体" w:hAnsi="黑体"/>
          <w:sz w:val="36"/>
          <w:szCs w:val="36"/>
        </w:rPr>
      </w:pPr>
      <w:r>
        <w:rPr>
          <w:rFonts w:ascii="黑体" w:eastAsia="黑体" w:hAnsi="黑体" w:hint="eastAsia"/>
          <w:sz w:val="36"/>
          <w:szCs w:val="36"/>
        </w:rPr>
        <w:t>广东省河源市中级人民法院</w:t>
      </w:r>
    </w:p>
    <w:p w14:paraId="695237C7" w14:textId="77777777" w:rsidR="00A15CE0" w:rsidRDefault="00A15CE0">
      <w:pPr>
        <w:spacing w:line="500" w:lineRule="atLeast"/>
        <w:jc w:val="center"/>
        <w:divId w:val="2000305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32ADE1" w14:textId="77777777" w:rsidR="00A15CE0" w:rsidRDefault="00A15CE0">
      <w:pPr>
        <w:spacing w:line="500" w:lineRule="atLeast"/>
        <w:jc w:val="right"/>
        <w:divId w:val="1640914243"/>
        <w:rPr>
          <w:rFonts w:hint="eastAsia"/>
          <w:sz w:val="30"/>
          <w:szCs w:val="30"/>
        </w:rPr>
      </w:pPr>
      <w:r>
        <w:rPr>
          <w:rFonts w:hint="eastAsia"/>
          <w:sz w:val="30"/>
          <w:szCs w:val="30"/>
        </w:rPr>
        <w:t>(2016)</w:t>
      </w:r>
      <w:r>
        <w:rPr>
          <w:rFonts w:hint="eastAsia"/>
          <w:sz w:val="30"/>
          <w:szCs w:val="30"/>
        </w:rPr>
        <w:t>粤</w:t>
      </w:r>
      <w:r>
        <w:rPr>
          <w:rFonts w:hint="eastAsia"/>
          <w:sz w:val="30"/>
          <w:szCs w:val="30"/>
        </w:rPr>
        <w:t>16</w:t>
      </w:r>
      <w:r>
        <w:rPr>
          <w:rFonts w:hint="eastAsia"/>
          <w:sz w:val="30"/>
          <w:szCs w:val="30"/>
        </w:rPr>
        <w:t>刑终</w:t>
      </w:r>
      <w:r>
        <w:rPr>
          <w:rFonts w:hint="eastAsia"/>
          <w:sz w:val="30"/>
          <w:szCs w:val="30"/>
        </w:rPr>
        <w:t>119</w:t>
      </w:r>
      <w:r>
        <w:rPr>
          <w:rFonts w:hint="eastAsia"/>
          <w:sz w:val="30"/>
          <w:szCs w:val="30"/>
        </w:rPr>
        <w:t>号</w:t>
      </w:r>
    </w:p>
    <w:p w14:paraId="3D45573F" w14:textId="77777777" w:rsidR="00A15CE0" w:rsidRDefault="00A15CE0">
      <w:pPr>
        <w:spacing w:line="500" w:lineRule="atLeast"/>
        <w:ind w:firstLine="600"/>
        <w:divId w:val="2058042728"/>
        <w:rPr>
          <w:rFonts w:hint="eastAsia"/>
          <w:sz w:val="30"/>
          <w:szCs w:val="30"/>
        </w:rPr>
      </w:pPr>
      <w:r>
        <w:rPr>
          <w:rFonts w:hint="eastAsia"/>
          <w:sz w:val="30"/>
          <w:szCs w:val="30"/>
        </w:rPr>
        <w:t>原公诉机关广东省东源县人民检察院。</w:t>
      </w:r>
    </w:p>
    <w:p w14:paraId="2830E2CE" w14:textId="77777777" w:rsidR="00A15CE0" w:rsidRDefault="00A15CE0">
      <w:pPr>
        <w:spacing w:line="500" w:lineRule="atLeast"/>
        <w:ind w:firstLine="600"/>
        <w:divId w:val="1596859796"/>
        <w:rPr>
          <w:rFonts w:hint="eastAsia"/>
          <w:sz w:val="30"/>
          <w:szCs w:val="30"/>
        </w:rPr>
      </w:pPr>
      <w:r>
        <w:rPr>
          <w:rFonts w:hint="eastAsia"/>
          <w:sz w:val="30"/>
          <w:szCs w:val="30"/>
        </w:rPr>
        <w:t>上诉人（原审被告人）缪某甲，男，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日出生，汉族，高中文化。因本案于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日被执行逮捕。现羁押于东源县看守所。</w:t>
      </w:r>
    </w:p>
    <w:p w14:paraId="7679C748" w14:textId="77777777" w:rsidR="00A15CE0" w:rsidRDefault="00A15CE0">
      <w:pPr>
        <w:spacing w:line="500" w:lineRule="atLeast"/>
        <w:ind w:firstLine="600"/>
        <w:divId w:val="1072197406"/>
        <w:rPr>
          <w:rFonts w:hint="eastAsia"/>
          <w:sz w:val="30"/>
          <w:szCs w:val="30"/>
        </w:rPr>
      </w:pPr>
      <w:r>
        <w:rPr>
          <w:rFonts w:hint="eastAsia"/>
          <w:sz w:val="30"/>
          <w:szCs w:val="30"/>
        </w:rPr>
        <w:t>辩护人李海峰，广东正显律师事务所律师。</w:t>
      </w:r>
    </w:p>
    <w:p w14:paraId="38DF1C2E" w14:textId="77777777" w:rsidR="00A15CE0" w:rsidRDefault="00A15CE0">
      <w:pPr>
        <w:spacing w:line="500" w:lineRule="atLeast"/>
        <w:ind w:firstLine="600"/>
        <w:divId w:val="15814087"/>
        <w:rPr>
          <w:rFonts w:hint="eastAsia"/>
          <w:sz w:val="30"/>
          <w:szCs w:val="30"/>
        </w:rPr>
      </w:pPr>
      <w:r>
        <w:rPr>
          <w:rFonts w:hint="eastAsia"/>
          <w:sz w:val="30"/>
          <w:szCs w:val="30"/>
        </w:rPr>
        <w:t>广东省东源县人民法院审理广东省东源县人民检察院指控原审被告人缪某甲犯贪污罪一案，于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135</w:t>
      </w:r>
      <w:r>
        <w:rPr>
          <w:rFonts w:hint="eastAsia"/>
          <w:sz w:val="30"/>
          <w:szCs w:val="30"/>
        </w:rPr>
        <w:t>号刑事判决。原审被告人缪某甲不服，提出上诉。本院依法组成合议庭，于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日公开开庭审理了本案，河源市人民检察院指派代理检察员刘燕红出庭履行公职，上诉人缪某甲及其辩护人李海峰到庭参加诉讼。现已审理终结。</w:t>
      </w:r>
    </w:p>
    <w:p w14:paraId="6248D079" w14:textId="77777777" w:rsidR="00A15CE0" w:rsidRDefault="00A15CE0">
      <w:pPr>
        <w:spacing w:line="500" w:lineRule="atLeast"/>
        <w:ind w:firstLine="600"/>
        <w:divId w:val="2049329433"/>
        <w:rPr>
          <w:rFonts w:hint="eastAsia"/>
          <w:sz w:val="30"/>
          <w:szCs w:val="30"/>
        </w:rPr>
      </w:pPr>
      <w:r>
        <w:rPr>
          <w:rFonts w:hint="eastAsia"/>
          <w:sz w:val="30"/>
          <w:szCs w:val="30"/>
        </w:rPr>
        <w:t>原判认定，经东源县义合镇高楼村委会申请，驻村扶贫单位广东粤财投资控股有限公司（下称“粤财公司”）承诺下拨</w:t>
      </w:r>
      <w:r>
        <w:rPr>
          <w:rFonts w:hint="eastAsia"/>
          <w:sz w:val="30"/>
          <w:szCs w:val="30"/>
        </w:rPr>
        <w:t>10</w:t>
      </w:r>
      <w:r>
        <w:rPr>
          <w:rFonts w:hint="eastAsia"/>
          <w:sz w:val="30"/>
          <w:szCs w:val="30"/>
        </w:rPr>
        <w:t>万元扶贫资金给高楼村委会用于建设久社河堤及高楼村道绿化工程（下称“绿化工程”）。</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缪某甲与河源市南芳园林绿化工程有限公司（下称“南芳公司”）签订绿化工程建设合同。次日，南芳公司又与被告人外甥杜某某签订绿化工程转包合同，之后由被告人经手将相关材料备齐提交给义合镇财政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日，镇财政所将粤财公司下拨的</w:t>
      </w:r>
      <w:r>
        <w:rPr>
          <w:rFonts w:hint="eastAsia"/>
          <w:sz w:val="30"/>
          <w:szCs w:val="30"/>
        </w:rPr>
        <w:t>10</w:t>
      </w:r>
      <w:r>
        <w:rPr>
          <w:rFonts w:hint="eastAsia"/>
          <w:sz w:val="30"/>
          <w:szCs w:val="30"/>
        </w:rPr>
        <w:t>万元绿化工程扶贫款转入高楼村委会账户，同日由被告人经手将该款转账到南芳公司账户。同月</w:t>
      </w:r>
      <w:r>
        <w:rPr>
          <w:rFonts w:hint="eastAsia"/>
          <w:sz w:val="30"/>
          <w:szCs w:val="30"/>
        </w:rPr>
        <w:t>27</w:t>
      </w:r>
      <w:r>
        <w:rPr>
          <w:rFonts w:hint="eastAsia"/>
          <w:sz w:val="30"/>
          <w:szCs w:val="30"/>
        </w:rPr>
        <w:t>日，南芳公司扣除管理费</w:t>
      </w:r>
      <w:r>
        <w:rPr>
          <w:rFonts w:hint="eastAsia"/>
          <w:sz w:val="30"/>
          <w:szCs w:val="30"/>
        </w:rPr>
        <w:t>5000</w:t>
      </w:r>
      <w:r>
        <w:rPr>
          <w:rFonts w:hint="eastAsia"/>
          <w:sz w:val="30"/>
          <w:szCs w:val="30"/>
        </w:rPr>
        <w:t>元后，将余款</w:t>
      </w:r>
      <w:r>
        <w:rPr>
          <w:rFonts w:hint="eastAsia"/>
          <w:sz w:val="30"/>
          <w:szCs w:val="30"/>
        </w:rPr>
        <w:t>9.5</w:t>
      </w:r>
      <w:r>
        <w:rPr>
          <w:rFonts w:hint="eastAsia"/>
          <w:sz w:val="30"/>
          <w:szCs w:val="30"/>
        </w:rPr>
        <w:t>万元转账至由被告人提供的</w:t>
      </w:r>
      <w:r>
        <w:rPr>
          <w:rFonts w:hint="eastAsia"/>
          <w:sz w:val="30"/>
          <w:szCs w:val="30"/>
        </w:rPr>
        <w:lastRenderedPageBreak/>
        <w:t>杜某某的个人账户，当天，杜某某将该</w:t>
      </w:r>
      <w:r>
        <w:rPr>
          <w:rFonts w:hint="eastAsia"/>
          <w:sz w:val="30"/>
          <w:szCs w:val="30"/>
        </w:rPr>
        <w:t>9.5</w:t>
      </w:r>
      <w:r>
        <w:rPr>
          <w:rFonts w:hint="eastAsia"/>
          <w:sz w:val="30"/>
          <w:szCs w:val="30"/>
        </w:rPr>
        <w:t>万元取出现金交由被告人。被告人收取该</w:t>
      </w:r>
      <w:r>
        <w:rPr>
          <w:rFonts w:hint="eastAsia"/>
          <w:sz w:val="30"/>
          <w:szCs w:val="30"/>
        </w:rPr>
        <w:t>9.5</w:t>
      </w:r>
      <w:r>
        <w:rPr>
          <w:rFonts w:hint="eastAsia"/>
          <w:sz w:val="30"/>
          <w:szCs w:val="30"/>
        </w:rPr>
        <w:t>万元后，并未入村账。</w:t>
      </w:r>
    </w:p>
    <w:p w14:paraId="1E72A1E7" w14:textId="77777777" w:rsidR="00A15CE0" w:rsidRDefault="00A15CE0">
      <w:pPr>
        <w:spacing w:line="500" w:lineRule="atLeast"/>
        <w:ind w:firstLine="600"/>
        <w:divId w:val="132955515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月，东源县纪委就义合镇高楼村的绿化工程进行调查时，被告人缪某甲唆使南芳公司法人代表罗某某和其外甥杜某某向调查人员作虚假证明，隐瞒</w:t>
      </w:r>
      <w:r>
        <w:rPr>
          <w:rFonts w:hint="eastAsia"/>
          <w:sz w:val="30"/>
          <w:szCs w:val="30"/>
        </w:rPr>
        <w:t>9.5</w:t>
      </w:r>
      <w:r>
        <w:rPr>
          <w:rFonts w:hint="eastAsia"/>
          <w:sz w:val="30"/>
          <w:szCs w:val="30"/>
        </w:rPr>
        <w:t>万元已在其手的事实。</w:t>
      </w:r>
    </w:p>
    <w:p w14:paraId="2EB9DCA2" w14:textId="77777777" w:rsidR="00A15CE0" w:rsidRDefault="00A15CE0">
      <w:pPr>
        <w:spacing w:line="500" w:lineRule="atLeast"/>
        <w:ind w:firstLine="600"/>
        <w:divId w:val="1165165241"/>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日，被告人缪某甲与罗某某协商，由其从村委会账户取出</w:t>
      </w:r>
      <w:r>
        <w:rPr>
          <w:rFonts w:hint="eastAsia"/>
          <w:sz w:val="30"/>
          <w:szCs w:val="30"/>
        </w:rPr>
        <w:t>6.7</w:t>
      </w:r>
      <w:r>
        <w:rPr>
          <w:rFonts w:hint="eastAsia"/>
          <w:sz w:val="30"/>
          <w:szCs w:val="30"/>
        </w:rPr>
        <w:t>万元现金在义合镇街镇交予罗某某，同日，再由罗某某在南芳公司转账</w:t>
      </w:r>
      <w:r>
        <w:rPr>
          <w:rFonts w:hint="eastAsia"/>
          <w:sz w:val="30"/>
          <w:szCs w:val="30"/>
        </w:rPr>
        <w:t>6.7</w:t>
      </w:r>
      <w:r>
        <w:rPr>
          <w:rFonts w:hint="eastAsia"/>
          <w:sz w:val="30"/>
          <w:szCs w:val="30"/>
        </w:rPr>
        <w:t>万元至高楼村委会账户，过了几天，被告人又向罗某某提供部分单据，并授意罗某某以</w:t>
      </w:r>
      <w:r>
        <w:rPr>
          <w:rFonts w:hint="eastAsia"/>
          <w:sz w:val="30"/>
          <w:szCs w:val="30"/>
        </w:rPr>
        <w:t>3.3</w:t>
      </w:r>
      <w:r>
        <w:rPr>
          <w:rFonts w:hint="eastAsia"/>
          <w:sz w:val="30"/>
          <w:szCs w:val="30"/>
        </w:rPr>
        <w:t>万元支出在南芳公司进行虚假出账，从而制造绿化工程扶贫款一直在南芳公司账户的假象。经调查核实，被告人经手高楼村绿化工程的实际开支为</w:t>
      </w:r>
      <w:r>
        <w:rPr>
          <w:rFonts w:hint="eastAsia"/>
          <w:sz w:val="30"/>
          <w:szCs w:val="30"/>
        </w:rPr>
        <w:t>31758</w:t>
      </w:r>
      <w:r>
        <w:rPr>
          <w:rFonts w:hint="eastAsia"/>
          <w:sz w:val="30"/>
          <w:szCs w:val="30"/>
        </w:rPr>
        <w:t>元（其中：</w:t>
      </w:r>
      <w:r>
        <w:rPr>
          <w:rFonts w:hint="eastAsia"/>
          <w:sz w:val="30"/>
          <w:szCs w:val="30"/>
        </w:rPr>
        <w:t>2014</w:t>
      </w:r>
      <w:r>
        <w:rPr>
          <w:rFonts w:hint="eastAsia"/>
          <w:sz w:val="30"/>
          <w:szCs w:val="30"/>
        </w:rPr>
        <w:t>年及</w:t>
      </w:r>
      <w:r>
        <w:rPr>
          <w:rFonts w:hint="eastAsia"/>
          <w:sz w:val="30"/>
          <w:szCs w:val="30"/>
        </w:rPr>
        <w:t>2015</w:t>
      </w:r>
      <w:r>
        <w:rPr>
          <w:rFonts w:hint="eastAsia"/>
          <w:sz w:val="30"/>
          <w:szCs w:val="30"/>
        </w:rPr>
        <w:t>年高楼村绿化工程种植费用共</w:t>
      </w:r>
      <w:r>
        <w:rPr>
          <w:rFonts w:hint="eastAsia"/>
          <w:sz w:val="30"/>
          <w:szCs w:val="30"/>
        </w:rPr>
        <w:t>21956</w:t>
      </w:r>
      <w:r>
        <w:rPr>
          <w:rFonts w:hint="eastAsia"/>
          <w:sz w:val="30"/>
          <w:szCs w:val="30"/>
        </w:rPr>
        <w:t>元、开具绿化工程发票完税支出</w:t>
      </w:r>
      <w:r>
        <w:rPr>
          <w:rFonts w:hint="eastAsia"/>
          <w:sz w:val="30"/>
          <w:szCs w:val="30"/>
        </w:rPr>
        <w:t>4802</w:t>
      </w:r>
      <w:r>
        <w:rPr>
          <w:rFonts w:hint="eastAsia"/>
          <w:sz w:val="30"/>
          <w:szCs w:val="30"/>
        </w:rPr>
        <w:t>元、支付南芳工程管理费</w:t>
      </w:r>
      <w:r>
        <w:rPr>
          <w:rFonts w:hint="eastAsia"/>
          <w:sz w:val="30"/>
          <w:szCs w:val="30"/>
        </w:rPr>
        <w:t>5000</w:t>
      </w:r>
      <w:r>
        <w:rPr>
          <w:rFonts w:hint="eastAsia"/>
          <w:sz w:val="30"/>
          <w:szCs w:val="30"/>
        </w:rPr>
        <w:t>元）。</w:t>
      </w:r>
    </w:p>
    <w:p w14:paraId="2B51F1CB" w14:textId="77777777" w:rsidR="00A15CE0" w:rsidRDefault="00A15CE0">
      <w:pPr>
        <w:spacing w:line="500" w:lineRule="atLeast"/>
        <w:ind w:firstLine="600"/>
        <w:divId w:val="2098405722"/>
        <w:rPr>
          <w:rFonts w:hint="eastAsia"/>
          <w:sz w:val="30"/>
          <w:szCs w:val="30"/>
        </w:rPr>
      </w:pPr>
      <w:r>
        <w:rPr>
          <w:rFonts w:hint="eastAsia"/>
          <w:sz w:val="30"/>
          <w:szCs w:val="30"/>
        </w:rPr>
        <w:t>以上事实，有公诉机关提供并经原审庭审举证、质证的立案决定书，证人罗某某、杜某某、高某甲、高某乙、赖某某、高某丙、叶某某、李某某、缪某乙、高某丁、高某戊、曾某某、缪某丙、高某己、丘某某、邱某某、温某某、魏某、袁某某、揭某某的证言，会议记录，记账凭证，财务支出凭据，结算业务委托书，预算拨款凭证，收款回单，专项资金拨付申请表，合同书，协议书，取款凭证等票据材料，河源市南芳园林绿化工程有限公司出具的虚假的《关于缪某甲前来我公司结算绿化工程时间的情况说明》，被告人的供述与辩解及其身份材料等证据予以证实。</w:t>
      </w:r>
    </w:p>
    <w:p w14:paraId="01B5C268" w14:textId="77777777" w:rsidR="00A15CE0" w:rsidRDefault="00A15CE0">
      <w:pPr>
        <w:spacing w:line="500" w:lineRule="atLeast"/>
        <w:ind w:firstLine="600"/>
        <w:divId w:val="469637615"/>
        <w:rPr>
          <w:rFonts w:hint="eastAsia"/>
          <w:sz w:val="30"/>
          <w:szCs w:val="30"/>
        </w:rPr>
      </w:pPr>
      <w:r>
        <w:rPr>
          <w:rFonts w:hint="eastAsia"/>
          <w:sz w:val="30"/>
          <w:szCs w:val="30"/>
        </w:rPr>
        <w:t>原判认为，被告人缪某甲在担任东源县义合镇高楼村委会副主任期间，利用其负责村委报账的职务便利，套取粤财公司帮扶高楼村的绿化工程资金</w:t>
      </w:r>
      <w:r>
        <w:rPr>
          <w:rFonts w:hint="eastAsia"/>
          <w:sz w:val="30"/>
          <w:szCs w:val="30"/>
        </w:rPr>
        <w:t>10</w:t>
      </w:r>
      <w:r>
        <w:rPr>
          <w:rFonts w:hint="eastAsia"/>
          <w:sz w:val="30"/>
          <w:szCs w:val="30"/>
        </w:rPr>
        <w:t>万元，将其中的</w:t>
      </w:r>
      <w:r>
        <w:rPr>
          <w:rFonts w:hint="eastAsia"/>
          <w:sz w:val="30"/>
          <w:szCs w:val="30"/>
        </w:rPr>
        <w:t>68242</w:t>
      </w:r>
      <w:r>
        <w:rPr>
          <w:rFonts w:hint="eastAsia"/>
          <w:sz w:val="30"/>
          <w:szCs w:val="30"/>
        </w:rPr>
        <w:t>元非法占为已有，数额较大，其行为构成贪污罪。鉴于被告人缪某甲认罪服法，可对其酌情从轻处罚。依照《中华人民共和国刑法》第三百八十二条、第三百八十三条第一款第（一）项及第九十三条之规定，判决：被告人缪某甲犯贪污罪，判处有期徒刑一年六个月，并处罚金</w:t>
      </w:r>
      <w:r>
        <w:rPr>
          <w:rFonts w:hint="eastAsia"/>
          <w:sz w:val="30"/>
          <w:szCs w:val="30"/>
        </w:rPr>
        <w:t>100000</w:t>
      </w:r>
      <w:r>
        <w:rPr>
          <w:rFonts w:hint="eastAsia"/>
          <w:sz w:val="30"/>
          <w:szCs w:val="30"/>
        </w:rPr>
        <w:t>元。</w:t>
      </w:r>
    </w:p>
    <w:p w14:paraId="34EFB219" w14:textId="77777777" w:rsidR="00A15CE0" w:rsidRDefault="00A15CE0">
      <w:pPr>
        <w:spacing w:line="500" w:lineRule="atLeast"/>
        <w:ind w:firstLine="600"/>
        <w:divId w:val="1981569522"/>
        <w:rPr>
          <w:rFonts w:hint="eastAsia"/>
          <w:sz w:val="30"/>
          <w:szCs w:val="30"/>
        </w:rPr>
      </w:pPr>
      <w:r>
        <w:rPr>
          <w:rFonts w:hint="eastAsia"/>
          <w:sz w:val="30"/>
          <w:szCs w:val="30"/>
        </w:rPr>
        <w:t>上诉人缪某甲的上诉理由及其辩护人的辩护意见主要有：上诉人对原判认定其实施的贪污行为无异议，但上诉人并没有从中获得利益，且案发后上诉人的亲属已将涉案赃款人民币</w:t>
      </w:r>
      <w:r>
        <w:rPr>
          <w:rFonts w:hint="eastAsia"/>
          <w:sz w:val="30"/>
          <w:szCs w:val="30"/>
        </w:rPr>
        <w:t>68242</w:t>
      </w:r>
      <w:r>
        <w:rPr>
          <w:rFonts w:hint="eastAsia"/>
          <w:sz w:val="30"/>
          <w:szCs w:val="30"/>
        </w:rPr>
        <w:t>元退回给义合镇高楼村委会，上诉人当庭认罪、具有悔罪表现，原判对上诉人的量刑过重，请求二审法院从轻处罚。</w:t>
      </w:r>
    </w:p>
    <w:p w14:paraId="6A904A44" w14:textId="77777777" w:rsidR="00A15CE0" w:rsidRDefault="00A15CE0">
      <w:pPr>
        <w:spacing w:line="500" w:lineRule="atLeast"/>
        <w:ind w:firstLine="600"/>
        <w:divId w:val="1099523609"/>
        <w:rPr>
          <w:rFonts w:hint="eastAsia"/>
          <w:sz w:val="30"/>
          <w:szCs w:val="30"/>
        </w:rPr>
      </w:pPr>
      <w:r>
        <w:rPr>
          <w:rFonts w:hint="eastAsia"/>
          <w:sz w:val="30"/>
          <w:szCs w:val="30"/>
        </w:rPr>
        <w:t>河源市人民检察院的出庭意见主要有：根据本案的证人证言、财务支出凭据、银行转账记录、合同书及上诉人的供述等证据，足以证实上诉人利用其担任高楼村委会副主任，负责村委会扶贫款管理和报账的职务便利，采取签订虚假合同、虚构开支的手段，秘密套取扶贫款</w:t>
      </w:r>
      <w:r>
        <w:rPr>
          <w:rFonts w:hint="eastAsia"/>
          <w:sz w:val="30"/>
          <w:szCs w:val="30"/>
        </w:rPr>
        <w:t>68242</w:t>
      </w:r>
      <w:r>
        <w:rPr>
          <w:rFonts w:hint="eastAsia"/>
          <w:sz w:val="30"/>
          <w:szCs w:val="30"/>
        </w:rPr>
        <w:t>元，并将该款占为己有的犯罪事实，上诉人的行为构成贪污罪。原判据此对上诉人的定罪量刑并无不当。鉴于二审期间，经调查核实，上诉人家属将涉案赃款</w:t>
      </w:r>
      <w:r>
        <w:rPr>
          <w:rFonts w:hint="eastAsia"/>
          <w:sz w:val="30"/>
          <w:szCs w:val="30"/>
        </w:rPr>
        <w:t>68242</w:t>
      </w:r>
      <w:r>
        <w:rPr>
          <w:rFonts w:hint="eastAsia"/>
          <w:sz w:val="30"/>
          <w:szCs w:val="30"/>
        </w:rPr>
        <w:t>元退至高楼村委会，可视为上诉人具有退赃行为，结合上诉人二审庭审当庭认罪等情节，建议二审法院对上诉人酌情从轻处罚。</w:t>
      </w:r>
    </w:p>
    <w:p w14:paraId="3C7DF3BC" w14:textId="77777777" w:rsidR="00A15CE0" w:rsidRDefault="00A15CE0">
      <w:pPr>
        <w:spacing w:line="500" w:lineRule="atLeast"/>
        <w:ind w:firstLine="600"/>
        <w:divId w:val="1929148276"/>
        <w:rPr>
          <w:rFonts w:hint="eastAsia"/>
          <w:sz w:val="30"/>
          <w:szCs w:val="30"/>
        </w:rPr>
      </w:pPr>
      <w:r>
        <w:rPr>
          <w:rFonts w:hint="eastAsia"/>
          <w:sz w:val="30"/>
          <w:szCs w:val="30"/>
        </w:rPr>
        <w:t>经审理查明，原判认定事实清楚，证据确实、充分，本院予以确认。</w:t>
      </w:r>
    </w:p>
    <w:p w14:paraId="46FC55C1" w14:textId="77777777" w:rsidR="00A15CE0" w:rsidRDefault="00A15CE0">
      <w:pPr>
        <w:spacing w:line="500" w:lineRule="atLeast"/>
        <w:ind w:firstLine="600"/>
        <w:divId w:val="903955664"/>
        <w:rPr>
          <w:rFonts w:hint="eastAsia"/>
          <w:sz w:val="30"/>
          <w:szCs w:val="30"/>
        </w:rPr>
      </w:pPr>
      <w:r>
        <w:rPr>
          <w:rFonts w:hint="eastAsia"/>
          <w:sz w:val="30"/>
          <w:szCs w:val="30"/>
        </w:rPr>
        <w:t>另查明，本案案发后，上诉人缪某甲的家属主动将涉案赃款</w:t>
      </w:r>
      <w:r>
        <w:rPr>
          <w:rFonts w:hint="eastAsia"/>
          <w:sz w:val="30"/>
          <w:szCs w:val="30"/>
        </w:rPr>
        <w:t>68242</w:t>
      </w:r>
      <w:r>
        <w:rPr>
          <w:rFonts w:hint="eastAsia"/>
          <w:sz w:val="30"/>
          <w:szCs w:val="30"/>
        </w:rPr>
        <w:t>元退回至东源县义合镇高楼村民委员会。</w:t>
      </w:r>
    </w:p>
    <w:p w14:paraId="59729A83" w14:textId="77777777" w:rsidR="00A15CE0" w:rsidRDefault="00A15CE0">
      <w:pPr>
        <w:spacing w:line="500" w:lineRule="atLeast"/>
        <w:ind w:firstLine="600"/>
        <w:divId w:val="36245084"/>
        <w:rPr>
          <w:rFonts w:hint="eastAsia"/>
          <w:sz w:val="30"/>
          <w:szCs w:val="30"/>
        </w:rPr>
      </w:pPr>
      <w:r>
        <w:rPr>
          <w:rFonts w:hint="eastAsia"/>
          <w:sz w:val="30"/>
          <w:szCs w:val="30"/>
        </w:rPr>
        <w:t>上述事实，有上诉人的辩护人及公诉机关提供并经二审庭审举证、质证的收据、证明、证人高某甲、高某乙、缪某丁、魏某的证言及辨认笔录等证据予以证实。</w:t>
      </w:r>
    </w:p>
    <w:p w14:paraId="1C9E85C8" w14:textId="77777777" w:rsidR="00A15CE0" w:rsidRDefault="00A15CE0">
      <w:pPr>
        <w:spacing w:line="500" w:lineRule="atLeast"/>
        <w:ind w:firstLine="600"/>
        <w:divId w:val="1537620048"/>
        <w:rPr>
          <w:rFonts w:hint="eastAsia"/>
          <w:sz w:val="30"/>
          <w:szCs w:val="30"/>
        </w:rPr>
      </w:pPr>
      <w:r>
        <w:rPr>
          <w:rFonts w:hint="eastAsia"/>
          <w:sz w:val="30"/>
          <w:szCs w:val="30"/>
        </w:rPr>
        <w:t>本院认为，上诉人缪某甲在担任东源县义合镇高楼村委会副主任期间，利用其负责村委报账的职务便利，套取粤财公司帮扶高楼村的绿化工程资金</w:t>
      </w:r>
      <w:r>
        <w:rPr>
          <w:rFonts w:hint="eastAsia"/>
          <w:sz w:val="30"/>
          <w:szCs w:val="30"/>
        </w:rPr>
        <w:t>10</w:t>
      </w:r>
      <w:r>
        <w:rPr>
          <w:rFonts w:hint="eastAsia"/>
          <w:sz w:val="30"/>
          <w:szCs w:val="30"/>
        </w:rPr>
        <w:t>万元，并将其中的公款</w:t>
      </w:r>
      <w:r>
        <w:rPr>
          <w:rFonts w:hint="eastAsia"/>
          <w:sz w:val="30"/>
          <w:szCs w:val="30"/>
        </w:rPr>
        <w:t>68242</w:t>
      </w:r>
      <w:r>
        <w:rPr>
          <w:rFonts w:hint="eastAsia"/>
          <w:sz w:val="30"/>
          <w:szCs w:val="30"/>
        </w:rPr>
        <w:t>元非法占为已有，数额较大，其行为构成贪污罪，依法应予刑罚处罚。关于上诉人及其辩护人认为原判对其量刑过重，请求本院从轻处罚的上诉理由和辩护意见。经查，上诉人贪污公款</w:t>
      </w:r>
      <w:r>
        <w:rPr>
          <w:rFonts w:hint="eastAsia"/>
          <w:sz w:val="30"/>
          <w:szCs w:val="30"/>
        </w:rPr>
        <w:t>68242</w:t>
      </w:r>
      <w:r>
        <w:rPr>
          <w:rFonts w:hint="eastAsia"/>
          <w:sz w:val="30"/>
          <w:szCs w:val="30"/>
        </w:rPr>
        <w:t>元，属贪污数额较大，依法应处三年以下有期徒刑或者拘役，并处罚金。原判根据上诉人的犯罪事实及认罪态度等情节，对其所作的量刑在法定量刑幅度内。鉴于二审期间经查实，上诉人已将涉案赃款退清，且二审庭审时当庭认罪，本院根据上诉人的犯罪事实及认罪态度、悔罪表现、退清赃款等情节，依法对其量刑进行调整。上诉人缪某甲退至东源县义合镇高楼村民委员会的赃款</w:t>
      </w:r>
      <w:r>
        <w:rPr>
          <w:rFonts w:hint="eastAsia"/>
          <w:sz w:val="30"/>
          <w:szCs w:val="30"/>
        </w:rPr>
        <w:t>68242</w:t>
      </w:r>
      <w:r>
        <w:rPr>
          <w:rFonts w:hint="eastAsia"/>
          <w:sz w:val="30"/>
          <w:szCs w:val="30"/>
        </w:rPr>
        <w:t>元，由东源县义合镇高楼村民委员会按照相关规定依法依规处理。综上，依据《中华人民共和国刑法》第三百八十二条、第三百八十三条第一款第（一）项、第九十三条及《中华人民共和国刑事诉讼法》第二百二十五条第一款第（二）项之规定，判决如下：</w:t>
      </w:r>
    </w:p>
    <w:p w14:paraId="087F1C9B" w14:textId="77777777" w:rsidR="00A15CE0" w:rsidRDefault="00A15CE0">
      <w:pPr>
        <w:spacing w:line="500" w:lineRule="atLeast"/>
        <w:ind w:firstLine="600"/>
        <w:divId w:val="2099131776"/>
        <w:rPr>
          <w:rFonts w:hint="eastAsia"/>
          <w:sz w:val="30"/>
          <w:szCs w:val="30"/>
        </w:rPr>
      </w:pPr>
      <w:r>
        <w:rPr>
          <w:rFonts w:hint="eastAsia"/>
          <w:sz w:val="30"/>
          <w:szCs w:val="30"/>
        </w:rPr>
        <w:t>一、撤销广东省东源县人民法院（</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135</w:t>
      </w:r>
      <w:r>
        <w:rPr>
          <w:rFonts w:hint="eastAsia"/>
          <w:sz w:val="30"/>
          <w:szCs w:val="30"/>
        </w:rPr>
        <w:t>号刑事判决。</w:t>
      </w:r>
    </w:p>
    <w:p w14:paraId="0F791CB6" w14:textId="77777777" w:rsidR="00A15CE0" w:rsidRDefault="00A15CE0">
      <w:pPr>
        <w:spacing w:line="500" w:lineRule="atLeast"/>
        <w:ind w:firstLine="600"/>
        <w:divId w:val="338000841"/>
        <w:rPr>
          <w:rFonts w:hint="eastAsia"/>
          <w:sz w:val="30"/>
          <w:szCs w:val="30"/>
        </w:rPr>
      </w:pPr>
      <w:r>
        <w:rPr>
          <w:rFonts w:hint="eastAsia"/>
          <w:sz w:val="30"/>
          <w:szCs w:val="30"/>
        </w:rPr>
        <w:t>二、上诉人（原审被告人）缪某甲犯贪污罪，判处有期徒刑九个月，并处罚金</w:t>
      </w:r>
      <w:r>
        <w:rPr>
          <w:rFonts w:hint="eastAsia"/>
          <w:sz w:val="30"/>
          <w:szCs w:val="30"/>
        </w:rPr>
        <w:t>100000</w:t>
      </w:r>
      <w:r>
        <w:rPr>
          <w:rFonts w:hint="eastAsia"/>
          <w:sz w:val="30"/>
          <w:szCs w:val="30"/>
        </w:rPr>
        <w:t>元。</w:t>
      </w:r>
    </w:p>
    <w:p w14:paraId="344F20A6" w14:textId="77777777" w:rsidR="00A15CE0" w:rsidRDefault="00A15CE0">
      <w:pPr>
        <w:spacing w:line="500" w:lineRule="atLeast"/>
        <w:ind w:firstLine="600"/>
        <w:divId w:val="194957980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日止；罚金自本判决生效后十日内向原审法院缴交。）</w:t>
      </w:r>
    </w:p>
    <w:p w14:paraId="5AA4526D" w14:textId="77777777" w:rsidR="00A15CE0" w:rsidRDefault="00A15CE0">
      <w:pPr>
        <w:spacing w:line="500" w:lineRule="atLeast"/>
        <w:ind w:firstLine="600"/>
        <w:divId w:val="1346203002"/>
        <w:rPr>
          <w:rFonts w:hint="eastAsia"/>
          <w:sz w:val="30"/>
          <w:szCs w:val="30"/>
        </w:rPr>
      </w:pPr>
      <w:r>
        <w:rPr>
          <w:rFonts w:hint="eastAsia"/>
          <w:sz w:val="30"/>
          <w:szCs w:val="30"/>
        </w:rPr>
        <w:t>本判决为终审判决。</w:t>
      </w:r>
    </w:p>
    <w:p w14:paraId="6CFAFC6E" w14:textId="77777777" w:rsidR="00A15CE0" w:rsidRDefault="00A15CE0">
      <w:pPr>
        <w:spacing w:line="500" w:lineRule="atLeast"/>
        <w:jc w:val="right"/>
        <w:divId w:val="208883636"/>
        <w:rPr>
          <w:rFonts w:hint="eastAsia"/>
          <w:sz w:val="30"/>
          <w:szCs w:val="30"/>
        </w:rPr>
      </w:pPr>
      <w:r>
        <w:rPr>
          <w:rFonts w:hint="eastAsia"/>
          <w:sz w:val="30"/>
          <w:szCs w:val="30"/>
        </w:rPr>
        <w:t>审　判　长　　崔春柳</w:t>
      </w:r>
    </w:p>
    <w:p w14:paraId="73B30A2F" w14:textId="77777777" w:rsidR="00A15CE0" w:rsidRDefault="00A15CE0">
      <w:pPr>
        <w:spacing w:line="500" w:lineRule="atLeast"/>
        <w:jc w:val="right"/>
        <w:divId w:val="1274021157"/>
        <w:rPr>
          <w:rFonts w:hint="eastAsia"/>
          <w:sz w:val="30"/>
          <w:szCs w:val="30"/>
        </w:rPr>
      </w:pPr>
      <w:r>
        <w:rPr>
          <w:rFonts w:hint="eastAsia"/>
          <w:sz w:val="30"/>
          <w:szCs w:val="30"/>
        </w:rPr>
        <w:t>审　判　员　　曾志科</w:t>
      </w:r>
    </w:p>
    <w:p w14:paraId="369AA197" w14:textId="77777777" w:rsidR="00A15CE0" w:rsidRDefault="00A15CE0">
      <w:pPr>
        <w:spacing w:line="500" w:lineRule="atLeast"/>
        <w:jc w:val="right"/>
        <w:divId w:val="1864394809"/>
        <w:rPr>
          <w:rFonts w:hint="eastAsia"/>
          <w:sz w:val="30"/>
          <w:szCs w:val="30"/>
        </w:rPr>
      </w:pPr>
      <w:r>
        <w:rPr>
          <w:rFonts w:hint="eastAsia"/>
          <w:sz w:val="30"/>
          <w:szCs w:val="30"/>
        </w:rPr>
        <w:t>代理审判员　　刘　杰</w:t>
      </w:r>
    </w:p>
    <w:p w14:paraId="6535E2B6" w14:textId="77777777" w:rsidR="00A15CE0" w:rsidRDefault="00A15CE0">
      <w:pPr>
        <w:spacing w:line="500" w:lineRule="atLeast"/>
        <w:jc w:val="right"/>
        <w:divId w:val="15097"/>
        <w:rPr>
          <w:rFonts w:hint="eastAsia"/>
          <w:sz w:val="30"/>
          <w:szCs w:val="30"/>
        </w:rPr>
      </w:pPr>
      <w:r>
        <w:rPr>
          <w:rFonts w:hint="eastAsia"/>
          <w:sz w:val="30"/>
          <w:szCs w:val="30"/>
        </w:rPr>
        <w:t>二〇一六年十二月十四日</w:t>
      </w:r>
    </w:p>
    <w:p w14:paraId="5F475D8C" w14:textId="77777777" w:rsidR="00A15CE0" w:rsidRDefault="00A15CE0">
      <w:pPr>
        <w:spacing w:line="500" w:lineRule="atLeast"/>
        <w:jc w:val="right"/>
        <w:divId w:val="137456408"/>
        <w:rPr>
          <w:rFonts w:hint="eastAsia"/>
          <w:sz w:val="30"/>
          <w:szCs w:val="30"/>
        </w:rPr>
      </w:pPr>
      <w:r>
        <w:rPr>
          <w:rFonts w:hint="eastAsia"/>
          <w:sz w:val="30"/>
          <w:szCs w:val="30"/>
        </w:rPr>
        <w:t>书　记　员　　曾海燕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84A8B" w14:textId="77777777" w:rsidR="00A15CE0" w:rsidRDefault="00A15CE0" w:rsidP="00A15CE0">
      <w:pPr>
        <w:rPr>
          <w:rFonts w:hint="eastAsia"/>
        </w:rPr>
      </w:pPr>
      <w:r>
        <w:separator/>
      </w:r>
    </w:p>
  </w:endnote>
  <w:endnote w:type="continuationSeparator" w:id="0">
    <w:p w14:paraId="78485179" w14:textId="77777777" w:rsidR="00A15CE0" w:rsidRDefault="00A15CE0" w:rsidP="00A15C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C694D" w14:textId="77777777" w:rsidR="00A15CE0" w:rsidRDefault="00A15CE0" w:rsidP="00A15CE0">
      <w:pPr>
        <w:rPr>
          <w:rFonts w:hint="eastAsia"/>
        </w:rPr>
      </w:pPr>
      <w:r>
        <w:separator/>
      </w:r>
    </w:p>
  </w:footnote>
  <w:footnote w:type="continuationSeparator" w:id="0">
    <w:p w14:paraId="0F5BCEFE" w14:textId="77777777" w:rsidR="00A15CE0" w:rsidRDefault="00A15CE0" w:rsidP="00A15C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5CE0"/>
    <w:rsid w:val="002A784C"/>
    <w:rsid w:val="00A15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06DE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5CE0"/>
    <w:pPr>
      <w:tabs>
        <w:tab w:val="center" w:pos="4153"/>
        <w:tab w:val="right" w:pos="8306"/>
      </w:tabs>
      <w:snapToGrid w:val="0"/>
      <w:jc w:val="center"/>
    </w:pPr>
    <w:rPr>
      <w:sz w:val="18"/>
      <w:szCs w:val="18"/>
    </w:rPr>
  </w:style>
  <w:style w:type="character" w:customStyle="1" w:styleId="a4">
    <w:name w:val="页眉 字符"/>
    <w:basedOn w:val="a0"/>
    <w:link w:val="a3"/>
    <w:uiPriority w:val="99"/>
    <w:rsid w:val="00A15CE0"/>
    <w:rPr>
      <w:rFonts w:ascii="宋体" w:eastAsia="宋体" w:hAnsi="宋体" w:cs="宋体"/>
      <w:sz w:val="18"/>
      <w:szCs w:val="18"/>
    </w:rPr>
  </w:style>
  <w:style w:type="paragraph" w:styleId="a5">
    <w:name w:val="footer"/>
    <w:basedOn w:val="a"/>
    <w:link w:val="a6"/>
    <w:uiPriority w:val="99"/>
    <w:unhideWhenUsed/>
    <w:rsid w:val="00A15CE0"/>
    <w:pPr>
      <w:tabs>
        <w:tab w:val="center" w:pos="4153"/>
        <w:tab w:val="right" w:pos="8306"/>
      </w:tabs>
      <w:snapToGrid w:val="0"/>
    </w:pPr>
    <w:rPr>
      <w:sz w:val="18"/>
      <w:szCs w:val="18"/>
    </w:rPr>
  </w:style>
  <w:style w:type="character" w:customStyle="1" w:styleId="a6">
    <w:name w:val="页脚 字符"/>
    <w:basedOn w:val="a0"/>
    <w:link w:val="a5"/>
    <w:uiPriority w:val="99"/>
    <w:rsid w:val="00A15C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7">
      <w:marLeft w:val="0"/>
      <w:marRight w:val="720"/>
      <w:marTop w:val="10"/>
      <w:marBottom w:val="10"/>
      <w:divBdr>
        <w:top w:val="none" w:sz="0" w:space="0" w:color="auto"/>
        <w:left w:val="none" w:sz="0" w:space="0" w:color="auto"/>
        <w:bottom w:val="none" w:sz="0" w:space="0" w:color="auto"/>
        <w:right w:val="none" w:sz="0" w:space="0" w:color="auto"/>
      </w:divBdr>
    </w:div>
    <w:div w:id="15814087">
      <w:marLeft w:val="0"/>
      <w:marRight w:val="0"/>
      <w:marTop w:val="10"/>
      <w:marBottom w:val="10"/>
      <w:divBdr>
        <w:top w:val="none" w:sz="0" w:space="0" w:color="auto"/>
        <w:left w:val="none" w:sz="0" w:space="0" w:color="auto"/>
        <w:bottom w:val="none" w:sz="0" w:space="0" w:color="auto"/>
        <w:right w:val="none" w:sz="0" w:space="0" w:color="auto"/>
      </w:divBdr>
    </w:div>
    <w:div w:id="36245084">
      <w:marLeft w:val="0"/>
      <w:marRight w:val="0"/>
      <w:marTop w:val="10"/>
      <w:marBottom w:val="10"/>
      <w:divBdr>
        <w:top w:val="none" w:sz="0" w:space="0" w:color="auto"/>
        <w:left w:val="none" w:sz="0" w:space="0" w:color="auto"/>
        <w:bottom w:val="none" w:sz="0" w:space="0" w:color="auto"/>
        <w:right w:val="none" w:sz="0" w:space="0" w:color="auto"/>
      </w:divBdr>
    </w:div>
    <w:div w:id="137456408">
      <w:marLeft w:val="0"/>
      <w:marRight w:val="720"/>
      <w:marTop w:val="10"/>
      <w:marBottom w:val="10"/>
      <w:divBdr>
        <w:top w:val="none" w:sz="0" w:space="0" w:color="auto"/>
        <w:left w:val="none" w:sz="0" w:space="0" w:color="auto"/>
        <w:bottom w:val="none" w:sz="0" w:space="0" w:color="auto"/>
        <w:right w:val="none" w:sz="0" w:space="0" w:color="auto"/>
      </w:divBdr>
    </w:div>
    <w:div w:id="208883636">
      <w:marLeft w:val="0"/>
      <w:marRight w:val="720"/>
      <w:marTop w:val="10"/>
      <w:marBottom w:val="10"/>
      <w:divBdr>
        <w:top w:val="none" w:sz="0" w:space="0" w:color="auto"/>
        <w:left w:val="none" w:sz="0" w:space="0" w:color="auto"/>
        <w:bottom w:val="none" w:sz="0" w:space="0" w:color="auto"/>
        <w:right w:val="none" w:sz="0" w:space="0" w:color="auto"/>
      </w:divBdr>
    </w:div>
    <w:div w:id="338000841">
      <w:marLeft w:val="0"/>
      <w:marRight w:val="0"/>
      <w:marTop w:val="10"/>
      <w:marBottom w:val="10"/>
      <w:divBdr>
        <w:top w:val="none" w:sz="0" w:space="0" w:color="auto"/>
        <w:left w:val="none" w:sz="0" w:space="0" w:color="auto"/>
        <w:bottom w:val="none" w:sz="0" w:space="0" w:color="auto"/>
        <w:right w:val="none" w:sz="0" w:space="0" w:color="auto"/>
      </w:divBdr>
    </w:div>
    <w:div w:id="469637615">
      <w:marLeft w:val="0"/>
      <w:marRight w:val="0"/>
      <w:marTop w:val="10"/>
      <w:marBottom w:val="10"/>
      <w:divBdr>
        <w:top w:val="none" w:sz="0" w:space="0" w:color="auto"/>
        <w:left w:val="none" w:sz="0" w:space="0" w:color="auto"/>
        <w:bottom w:val="none" w:sz="0" w:space="0" w:color="auto"/>
        <w:right w:val="none" w:sz="0" w:space="0" w:color="auto"/>
      </w:divBdr>
    </w:div>
    <w:div w:id="903955664">
      <w:marLeft w:val="0"/>
      <w:marRight w:val="0"/>
      <w:marTop w:val="10"/>
      <w:marBottom w:val="10"/>
      <w:divBdr>
        <w:top w:val="none" w:sz="0" w:space="0" w:color="auto"/>
        <w:left w:val="none" w:sz="0" w:space="0" w:color="auto"/>
        <w:bottom w:val="none" w:sz="0" w:space="0" w:color="auto"/>
        <w:right w:val="none" w:sz="0" w:space="0" w:color="auto"/>
      </w:divBdr>
    </w:div>
    <w:div w:id="1072197406">
      <w:marLeft w:val="0"/>
      <w:marRight w:val="0"/>
      <w:marTop w:val="10"/>
      <w:marBottom w:val="10"/>
      <w:divBdr>
        <w:top w:val="none" w:sz="0" w:space="0" w:color="auto"/>
        <w:left w:val="none" w:sz="0" w:space="0" w:color="auto"/>
        <w:bottom w:val="none" w:sz="0" w:space="0" w:color="auto"/>
        <w:right w:val="none" w:sz="0" w:space="0" w:color="auto"/>
      </w:divBdr>
    </w:div>
    <w:div w:id="1099523609">
      <w:marLeft w:val="0"/>
      <w:marRight w:val="0"/>
      <w:marTop w:val="10"/>
      <w:marBottom w:val="10"/>
      <w:divBdr>
        <w:top w:val="none" w:sz="0" w:space="0" w:color="auto"/>
        <w:left w:val="none" w:sz="0" w:space="0" w:color="auto"/>
        <w:bottom w:val="none" w:sz="0" w:space="0" w:color="auto"/>
        <w:right w:val="none" w:sz="0" w:space="0" w:color="auto"/>
      </w:divBdr>
    </w:div>
    <w:div w:id="1165165241">
      <w:marLeft w:val="0"/>
      <w:marRight w:val="0"/>
      <w:marTop w:val="10"/>
      <w:marBottom w:val="10"/>
      <w:divBdr>
        <w:top w:val="none" w:sz="0" w:space="0" w:color="auto"/>
        <w:left w:val="none" w:sz="0" w:space="0" w:color="auto"/>
        <w:bottom w:val="none" w:sz="0" w:space="0" w:color="auto"/>
        <w:right w:val="none" w:sz="0" w:space="0" w:color="auto"/>
      </w:divBdr>
    </w:div>
    <w:div w:id="1274021157">
      <w:marLeft w:val="0"/>
      <w:marRight w:val="720"/>
      <w:marTop w:val="10"/>
      <w:marBottom w:val="10"/>
      <w:divBdr>
        <w:top w:val="none" w:sz="0" w:space="0" w:color="auto"/>
        <w:left w:val="none" w:sz="0" w:space="0" w:color="auto"/>
        <w:bottom w:val="none" w:sz="0" w:space="0" w:color="auto"/>
        <w:right w:val="none" w:sz="0" w:space="0" w:color="auto"/>
      </w:divBdr>
    </w:div>
    <w:div w:id="1329555155">
      <w:marLeft w:val="0"/>
      <w:marRight w:val="0"/>
      <w:marTop w:val="10"/>
      <w:marBottom w:val="10"/>
      <w:divBdr>
        <w:top w:val="none" w:sz="0" w:space="0" w:color="auto"/>
        <w:left w:val="none" w:sz="0" w:space="0" w:color="auto"/>
        <w:bottom w:val="none" w:sz="0" w:space="0" w:color="auto"/>
        <w:right w:val="none" w:sz="0" w:space="0" w:color="auto"/>
      </w:divBdr>
    </w:div>
    <w:div w:id="1346203002">
      <w:marLeft w:val="0"/>
      <w:marRight w:val="0"/>
      <w:marTop w:val="10"/>
      <w:marBottom w:val="10"/>
      <w:divBdr>
        <w:top w:val="none" w:sz="0" w:space="0" w:color="auto"/>
        <w:left w:val="none" w:sz="0" w:space="0" w:color="auto"/>
        <w:bottom w:val="none" w:sz="0" w:space="0" w:color="auto"/>
        <w:right w:val="none" w:sz="0" w:space="0" w:color="auto"/>
      </w:divBdr>
    </w:div>
    <w:div w:id="1537620048">
      <w:marLeft w:val="0"/>
      <w:marRight w:val="0"/>
      <w:marTop w:val="10"/>
      <w:marBottom w:val="10"/>
      <w:divBdr>
        <w:top w:val="none" w:sz="0" w:space="0" w:color="auto"/>
        <w:left w:val="none" w:sz="0" w:space="0" w:color="auto"/>
        <w:bottom w:val="none" w:sz="0" w:space="0" w:color="auto"/>
        <w:right w:val="none" w:sz="0" w:space="0" w:color="auto"/>
      </w:divBdr>
    </w:div>
    <w:div w:id="1596859796">
      <w:marLeft w:val="0"/>
      <w:marRight w:val="0"/>
      <w:marTop w:val="10"/>
      <w:marBottom w:val="10"/>
      <w:divBdr>
        <w:top w:val="none" w:sz="0" w:space="0" w:color="auto"/>
        <w:left w:val="none" w:sz="0" w:space="0" w:color="auto"/>
        <w:bottom w:val="none" w:sz="0" w:space="0" w:color="auto"/>
        <w:right w:val="none" w:sz="0" w:space="0" w:color="auto"/>
      </w:divBdr>
    </w:div>
    <w:div w:id="1616788948">
      <w:marLeft w:val="0"/>
      <w:marRight w:val="0"/>
      <w:marTop w:val="10"/>
      <w:marBottom w:val="10"/>
      <w:divBdr>
        <w:top w:val="none" w:sz="0" w:space="0" w:color="auto"/>
        <w:left w:val="none" w:sz="0" w:space="0" w:color="auto"/>
        <w:bottom w:val="none" w:sz="0" w:space="0" w:color="auto"/>
        <w:right w:val="none" w:sz="0" w:space="0" w:color="auto"/>
      </w:divBdr>
    </w:div>
    <w:div w:id="1640914243">
      <w:marLeft w:val="0"/>
      <w:marRight w:val="0"/>
      <w:marTop w:val="10"/>
      <w:marBottom w:val="10"/>
      <w:divBdr>
        <w:top w:val="none" w:sz="0" w:space="0" w:color="auto"/>
        <w:left w:val="none" w:sz="0" w:space="0" w:color="auto"/>
        <w:bottom w:val="none" w:sz="0" w:space="0" w:color="auto"/>
        <w:right w:val="none" w:sz="0" w:space="0" w:color="auto"/>
      </w:divBdr>
    </w:div>
    <w:div w:id="1864394809">
      <w:marLeft w:val="0"/>
      <w:marRight w:val="720"/>
      <w:marTop w:val="10"/>
      <w:marBottom w:val="10"/>
      <w:divBdr>
        <w:top w:val="none" w:sz="0" w:space="0" w:color="auto"/>
        <w:left w:val="none" w:sz="0" w:space="0" w:color="auto"/>
        <w:bottom w:val="none" w:sz="0" w:space="0" w:color="auto"/>
        <w:right w:val="none" w:sz="0" w:space="0" w:color="auto"/>
      </w:divBdr>
    </w:div>
    <w:div w:id="1929148276">
      <w:marLeft w:val="0"/>
      <w:marRight w:val="0"/>
      <w:marTop w:val="10"/>
      <w:marBottom w:val="10"/>
      <w:divBdr>
        <w:top w:val="none" w:sz="0" w:space="0" w:color="auto"/>
        <w:left w:val="none" w:sz="0" w:space="0" w:color="auto"/>
        <w:bottom w:val="none" w:sz="0" w:space="0" w:color="auto"/>
        <w:right w:val="none" w:sz="0" w:space="0" w:color="auto"/>
      </w:divBdr>
    </w:div>
    <w:div w:id="1949579804">
      <w:marLeft w:val="0"/>
      <w:marRight w:val="0"/>
      <w:marTop w:val="10"/>
      <w:marBottom w:val="10"/>
      <w:divBdr>
        <w:top w:val="none" w:sz="0" w:space="0" w:color="auto"/>
        <w:left w:val="none" w:sz="0" w:space="0" w:color="auto"/>
        <w:bottom w:val="none" w:sz="0" w:space="0" w:color="auto"/>
        <w:right w:val="none" w:sz="0" w:space="0" w:color="auto"/>
      </w:divBdr>
    </w:div>
    <w:div w:id="1981569522">
      <w:marLeft w:val="0"/>
      <w:marRight w:val="0"/>
      <w:marTop w:val="10"/>
      <w:marBottom w:val="10"/>
      <w:divBdr>
        <w:top w:val="none" w:sz="0" w:space="0" w:color="auto"/>
        <w:left w:val="none" w:sz="0" w:space="0" w:color="auto"/>
        <w:bottom w:val="none" w:sz="0" w:space="0" w:color="auto"/>
        <w:right w:val="none" w:sz="0" w:space="0" w:color="auto"/>
      </w:divBdr>
    </w:div>
    <w:div w:id="2000305549">
      <w:marLeft w:val="0"/>
      <w:marRight w:val="0"/>
      <w:marTop w:val="10"/>
      <w:marBottom w:val="10"/>
      <w:divBdr>
        <w:top w:val="none" w:sz="0" w:space="0" w:color="auto"/>
        <w:left w:val="none" w:sz="0" w:space="0" w:color="auto"/>
        <w:bottom w:val="none" w:sz="0" w:space="0" w:color="auto"/>
        <w:right w:val="none" w:sz="0" w:space="0" w:color="auto"/>
      </w:divBdr>
    </w:div>
    <w:div w:id="2049329433">
      <w:marLeft w:val="0"/>
      <w:marRight w:val="0"/>
      <w:marTop w:val="10"/>
      <w:marBottom w:val="10"/>
      <w:divBdr>
        <w:top w:val="none" w:sz="0" w:space="0" w:color="auto"/>
        <w:left w:val="none" w:sz="0" w:space="0" w:color="auto"/>
        <w:bottom w:val="none" w:sz="0" w:space="0" w:color="auto"/>
        <w:right w:val="none" w:sz="0" w:space="0" w:color="auto"/>
      </w:divBdr>
    </w:div>
    <w:div w:id="2058042728">
      <w:marLeft w:val="0"/>
      <w:marRight w:val="0"/>
      <w:marTop w:val="10"/>
      <w:marBottom w:val="10"/>
      <w:divBdr>
        <w:top w:val="none" w:sz="0" w:space="0" w:color="auto"/>
        <w:left w:val="none" w:sz="0" w:space="0" w:color="auto"/>
        <w:bottom w:val="none" w:sz="0" w:space="0" w:color="auto"/>
        <w:right w:val="none" w:sz="0" w:space="0" w:color="auto"/>
      </w:divBdr>
    </w:div>
    <w:div w:id="2098405722">
      <w:marLeft w:val="0"/>
      <w:marRight w:val="0"/>
      <w:marTop w:val="10"/>
      <w:marBottom w:val="10"/>
      <w:divBdr>
        <w:top w:val="none" w:sz="0" w:space="0" w:color="auto"/>
        <w:left w:val="none" w:sz="0" w:space="0" w:color="auto"/>
        <w:bottom w:val="none" w:sz="0" w:space="0" w:color="auto"/>
        <w:right w:val="none" w:sz="0" w:space="0" w:color="auto"/>
      </w:divBdr>
    </w:div>
    <w:div w:id="20991317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