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EC96" w14:textId="77777777" w:rsidR="001A42B4" w:rsidRDefault="001A42B4">
      <w:pPr>
        <w:spacing w:line="500" w:lineRule="atLeast"/>
        <w:jc w:val="center"/>
        <w:divId w:val="1185627751"/>
        <w:rPr>
          <w:rFonts w:ascii="黑体" w:eastAsia="黑体" w:hAnsi="黑体"/>
          <w:sz w:val="36"/>
          <w:szCs w:val="36"/>
        </w:rPr>
      </w:pPr>
      <w:r>
        <w:rPr>
          <w:rFonts w:ascii="黑体" w:eastAsia="黑体" w:hAnsi="黑体" w:hint="eastAsia"/>
          <w:sz w:val="36"/>
          <w:szCs w:val="36"/>
        </w:rPr>
        <w:t>广东省广州市越秀区人民法院</w:t>
      </w:r>
    </w:p>
    <w:p w14:paraId="0326EED8" w14:textId="77777777" w:rsidR="001A42B4" w:rsidRDefault="001A42B4">
      <w:pPr>
        <w:spacing w:line="500" w:lineRule="atLeast"/>
        <w:jc w:val="center"/>
        <w:divId w:val="349719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A5785D" w14:textId="77777777" w:rsidR="001A42B4" w:rsidRDefault="001A42B4">
      <w:pPr>
        <w:spacing w:line="500" w:lineRule="atLeast"/>
        <w:jc w:val="right"/>
        <w:divId w:val="393479383"/>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797</w:t>
      </w:r>
      <w:r>
        <w:rPr>
          <w:rFonts w:hint="eastAsia"/>
          <w:sz w:val="30"/>
          <w:szCs w:val="30"/>
        </w:rPr>
        <w:t>号</w:t>
      </w:r>
    </w:p>
    <w:p w14:paraId="720746FB" w14:textId="77777777" w:rsidR="001A42B4" w:rsidRDefault="001A42B4">
      <w:pPr>
        <w:spacing w:line="500" w:lineRule="atLeast"/>
        <w:ind w:firstLine="600"/>
        <w:divId w:val="763262976"/>
        <w:rPr>
          <w:rFonts w:hint="eastAsia"/>
          <w:sz w:val="30"/>
          <w:szCs w:val="30"/>
        </w:rPr>
      </w:pPr>
      <w:r>
        <w:rPr>
          <w:rFonts w:hint="eastAsia"/>
          <w:sz w:val="30"/>
          <w:szCs w:val="30"/>
        </w:rPr>
        <w:t>公诉机关广州市越秀区人民检察院。</w:t>
      </w:r>
    </w:p>
    <w:p w14:paraId="1C3B0FC8" w14:textId="77777777" w:rsidR="001A42B4" w:rsidRDefault="001A42B4">
      <w:pPr>
        <w:spacing w:line="500" w:lineRule="atLeast"/>
        <w:ind w:firstLine="600"/>
        <w:divId w:val="1332299704"/>
        <w:rPr>
          <w:rFonts w:hint="eastAsia"/>
          <w:sz w:val="30"/>
          <w:szCs w:val="30"/>
        </w:rPr>
      </w:pPr>
      <w:r>
        <w:rPr>
          <w:rFonts w:hint="eastAsia"/>
          <w:sz w:val="30"/>
          <w:szCs w:val="30"/>
        </w:rPr>
        <w:t>被告人何振洁，出生地广东省化州市，广州市公安局荔湾区分局治安管理大队二中队办案组民警、办案组副组长，户籍地广州市荔湾区。因本案于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日被逮捕。现羁押于广州市第三看守所。</w:t>
      </w:r>
    </w:p>
    <w:p w14:paraId="20D92B1F" w14:textId="77777777" w:rsidR="001A42B4" w:rsidRDefault="001A42B4">
      <w:pPr>
        <w:spacing w:line="500" w:lineRule="atLeast"/>
        <w:ind w:firstLine="600"/>
        <w:divId w:val="1863781290"/>
        <w:rPr>
          <w:rFonts w:hint="eastAsia"/>
          <w:sz w:val="30"/>
          <w:szCs w:val="30"/>
        </w:rPr>
      </w:pPr>
      <w:r>
        <w:rPr>
          <w:rFonts w:hint="eastAsia"/>
          <w:sz w:val="30"/>
          <w:szCs w:val="30"/>
        </w:rPr>
        <w:t>辩护人刘乙龙，北京市观韬（广州）律师事务所律师。</w:t>
      </w:r>
    </w:p>
    <w:p w14:paraId="46581855" w14:textId="77777777" w:rsidR="001A42B4" w:rsidRDefault="001A42B4">
      <w:pPr>
        <w:spacing w:line="500" w:lineRule="atLeast"/>
        <w:ind w:firstLine="600"/>
        <w:divId w:val="357976663"/>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579</w:t>
      </w:r>
      <w:r>
        <w:rPr>
          <w:rFonts w:hint="eastAsia"/>
          <w:sz w:val="30"/>
          <w:szCs w:val="30"/>
        </w:rPr>
        <w:t>号起诉书指控被告人何振洁犯帮助犯罪分子逃避处罚罪、受贿罪，于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日向本院提起公诉。本院依法组成合议庭，公开开庭审理了本案。广州市越秀区人民检察院指派代理检察员刘颖琳出庭支持公诉，被告人何振洁及其辩护人刘乙龙到庭参加了诉讼，现已审理终结。</w:t>
      </w:r>
    </w:p>
    <w:p w14:paraId="3CAA4713" w14:textId="77777777" w:rsidR="001A42B4" w:rsidRDefault="001A42B4">
      <w:pPr>
        <w:spacing w:line="500" w:lineRule="atLeast"/>
        <w:ind w:firstLine="600"/>
        <w:divId w:val="473330625"/>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振洁在担任广州市公安局荔湾区分局治安管理大队二中队办案组副组长期间，明知陈某、黎某、程某等人（均另案处理）在其辖区内开设赌场从事赌博活动，不履行查禁职责，且长期向上述人员通风报信，泄露查处违法犯罪活动的信息，帮助其逃避法律处罚。在这过程中，被告人何振洁利用职务上的便利，非法收受上述人员贿赂款项</w:t>
      </w:r>
      <w:r>
        <w:rPr>
          <w:rFonts w:hint="eastAsia"/>
          <w:sz w:val="30"/>
          <w:szCs w:val="30"/>
        </w:rPr>
        <w:t>18.3</w:t>
      </w:r>
      <w:r>
        <w:rPr>
          <w:rFonts w:hint="eastAsia"/>
          <w:sz w:val="30"/>
          <w:szCs w:val="30"/>
        </w:rPr>
        <w:t>万元。公诉机关认为，被告人何振洁的行为触犯《中华人民共和国刑法》第四百一十七条，第三百八十五的规定，分别构成帮助犯罪分子逃避处罚罪和受贿罪，依法应数罪并罚，并提交行贿人证言、证人证言、银行交易明细等相关证据，提请本院依法判处。</w:t>
      </w:r>
    </w:p>
    <w:p w14:paraId="6B7587B4" w14:textId="77777777" w:rsidR="001A42B4" w:rsidRDefault="001A42B4">
      <w:pPr>
        <w:spacing w:line="500" w:lineRule="atLeast"/>
        <w:ind w:firstLine="600"/>
        <w:divId w:val="1389845174"/>
        <w:rPr>
          <w:rFonts w:hint="eastAsia"/>
          <w:sz w:val="30"/>
          <w:szCs w:val="30"/>
        </w:rPr>
      </w:pPr>
      <w:r>
        <w:rPr>
          <w:rFonts w:hint="eastAsia"/>
          <w:sz w:val="30"/>
          <w:szCs w:val="30"/>
        </w:rPr>
        <w:lastRenderedPageBreak/>
        <w:t>被告人何振洁对指控的事实无异议，但辩称其行为只构成受贿罪，不构成帮助犯罪分子逃避处罚罪。其辩护人认为公诉机关指控被告人何振洁构成帮助犯罪分子逃避处罚罪与受贿罪存在交叉重合关系，属法条竞合，应择一重罪处罚，即应按照受贿罪一罪处罚。另被告人何振洁具有自首情节，有悔罪表现，且退清全部赃款，希望对被告人何振洁减轻处罚。</w:t>
      </w:r>
    </w:p>
    <w:p w14:paraId="16E4027F" w14:textId="77777777" w:rsidR="001A42B4" w:rsidRDefault="001A42B4">
      <w:pPr>
        <w:spacing w:line="500" w:lineRule="atLeast"/>
        <w:ind w:firstLine="600"/>
        <w:divId w:val="37134939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振洁担任广州市公安局荔湾区分局治安管理大队二中队办案组副组长，协助队长、组长组织办理该区治安部门负责的刑事案件和组织查处该区的“黄赌毒”等治安案件。期间，被告人何振洁明知陈某、黎某、程某等人（均另案处理）在其辖区内开设赌场从事赌博活动，不履行查禁职责，且长期向上述人员通风报信，泄露查处违法犯罪活动的信息，帮助其逃避法律处罚。在这过程中，被告人何振洁利用职务上的便利，非法收受上述人员贿赂款项</w:t>
      </w:r>
      <w:r>
        <w:rPr>
          <w:rFonts w:hint="eastAsia"/>
          <w:sz w:val="30"/>
          <w:szCs w:val="30"/>
        </w:rPr>
        <w:t>18.3</w:t>
      </w:r>
      <w:r>
        <w:rPr>
          <w:rFonts w:hint="eastAsia"/>
          <w:sz w:val="30"/>
          <w:szCs w:val="30"/>
        </w:rPr>
        <w:t>万元。</w:t>
      </w:r>
    </w:p>
    <w:p w14:paraId="44409096" w14:textId="77777777" w:rsidR="001A42B4" w:rsidRDefault="001A42B4">
      <w:pPr>
        <w:spacing w:line="500" w:lineRule="atLeast"/>
        <w:ind w:firstLine="600"/>
        <w:divId w:val="182893836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日，被告人何振洁主动到广州市荔湾区人民检察院如实交代了其犯罪事实，并退回上述违法所得</w:t>
      </w:r>
      <w:r>
        <w:rPr>
          <w:rFonts w:hint="eastAsia"/>
          <w:sz w:val="30"/>
          <w:szCs w:val="30"/>
        </w:rPr>
        <w:t>18.3</w:t>
      </w:r>
      <w:r>
        <w:rPr>
          <w:rFonts w:hint="eastAsia"/>
          <w:sz w:val="30"/>
          <w:szCs w:val="30"/>
        </w:rPr>
        <w:t>万元。</w:t>
      </w:r>
    </w:p>
    <w:p w14:paraId="7BF7AB25" w14:textId="77777777" w:rsidR="001A42B4" w:rsidRDefault="001A42B4">
      <w:pPr>
        <w:spacing w:line="500" w:lineRule="atLeast"/>
        <w:ind w:firstLine="600"/>
        <w:divId w:val="4333616"/>
        <w:rPr>
          <w:rFonts w:hint="eastAsia"/>
          <w:sz w:val="30"/>
          <w:szCs w:val="30"/>
        </w:rPr>
      </w:pPr>
      <w:r>
        <w:rPr>
          <w:rFonts w:hint="eastAsia"/>
          <w:sz w:val="30"/>
          <w:szCs w:val="30"/>
        </w:rPr>
        <w:t>上述事实，被告人何振洁在开庭审理过程中亦无异议，且有行贿人陈某、黎某、程某的证言及辨认照片笔录，证人谢某的证言及辨认照片笔录，证人卢某、刘某的证言，荔湾区人民检察院反渎职侵权局出具的破案经过，广州市公安局荔湾区分局治安管理大队出具的被告人何振洁工作情况的证明、广州市公安局荔湾区分局监督室出具被告人何振洁的广州市公安局民警员工信息简表，涉案储蓄受贿款的中国建设银行账户尾数为</w:t>
      </w:r>
      <w:r>
        <w:rPr>
          <w:rFonts w:hint="eastAsia"/>
          <w:sz w:val="30"/>
          <w:szCs w:val="30"/>
        </w:rPr>
        <w:t>9562</w:t>
      </w:r>
      <w:r>
        <w:rPr>
          <w:rFonts w:hint="eastAsia"/>
          <w:sz w:val="30"/>
          <w:szCs w:val="30"/>
        </w:rPr>
        <w:t>的账户交易明细、广州农村商业银行尾数为</w:t>
      </w:r>
      <w:r>
        <w:rPr>
          <w:rFonts w:hint="eastAsia"/>
          <w:sz w:val="30"/>
          <w:szCs w:val="30"/>
        </w:rPr>
        <w:t>0644</w:t>
      </w:r>
      <w:r>
        <w:rPr>
          <w:rFonts w:hint="eastAsia"/>
          <w:sz w:val="30"/>
          <w:szCs w:val="30"/>
        </w:rPr>
        <w:t>的账户交易明细，公安机关出具被告人何振洁的身份信息资料，被告人何振洁的供述及辨认三行贿人照片的笔录等证据证实，足以认定。</w:t>
      </w:r>
    </w:p>
    <w:p w14:paraId="676DB6C8" w14:textId="77777777" w:rsidR="001A42B4" w:rsidRDefault="001A42B4">
      <w:pPr>
        <w:spacing w:line="500" w:lineRule="atLeast"/>
        <w:ind w:firstLine="600"/>
        <w:divId w:val="1408531854"/>
        <w:rPr>
          <w:rFonts w:hint="eastAsia"/>
          <w:sz w:val="30"/>
          <w:szCs w:val="30"/>
        </w:rPr>
      </w:pPr>
      <w:r>
        <w:rPr>
          <w:rFonts w:hint="eastAsia"/>
          <w:sz w:val="30"/>
          <w:szCs w:val="30"/>
        </w:rPr>
        <w:t>对于被告人及其辩护人认为本案触犯的两个罪名是法条竞合，应仅以受贿罪定罪处罚的意见，本院经审查认为被告人及辩护人的该点意见不成立。经查，本案中，被告人何振洁实施了帮助犯罪分子逃避处罚和收受贿赂两个不同行为，帮助犯罪分子逃避处罚罪侵犯的客体是国家对犯罪的查禁活动，受贿罪侵犯的客体主要是国家机关的正常工作秩序和国家的廉政建设制度。本案中两个罪名之间仅在为犯罪分子谋取利益方面存在一定的交叉关系，犯罪构成要件之间并不存在包含关系。且并无法条明文规定同时触犯帮助犯罪分子逃避处罚罪和受贿罪的应只按照其中一个罪名处罚。综上，被告人及辩护人关于本案属法条竞合的意见不成立，本院不予采纳。</w:t>
      </w:r>
    </w:p>
    <w:p w14:paraId="7709F8BC" w14:textId="77777777" w:rsidR="001A42B4" w:rsidRDefault="001A42B4">
      <w:pPr>
        <w:spacing w:line="500" w:lineRule="atLeast"/>
        <w:ind w:firstLine="600"/>
        <w:divId w:val="1408724166"/>
        <w:rPr>
          <w:rFonts w:hint="eastAsia"/>
          <w:sz w:val="30"/>
          <w:szCs w:val="30"/>
        </w:rPr>
      </w:pPr>
      <w:r>
        <w:rPr>
          <w:rFonts w:hint="eastAsia"/>
          <w:sz w:val="30"/>
          <w:szCs w:val="30"/>
        </w:rPr>
        <w:t>本院认为，被告人何振洁无视国家法律，身为有查禁犯罪活动职责的国家机关工作人员，向犯罪分子通风报信、提供便利，帮助犯罪分子逃避处罚，其行为构成帮助犯罪分子逃避处罚罪；被告人何振洁作为国家机关工作人员，利用职务上的便利，非法收受他人财物，为他人谋取利益，其行为构成受贿罪。被告人何振洁犯数罪，依法应数罪并罚。公诉机关指控的事实清楚，证据充分，罪名成立，本院予以支持。被告人何振洁有自首情节，且退缴全部赃款，本院依法减轻处罚。对于辩护人要求对被告人何振洁从轻处罚的相关意见，本院在量刑时予以考虑。依照《中华人民共和国刑法》第四百一十七条，第三百八十五条，第三百八十六条，第三百八十三条第一款第（一）项，第六十九条，第六十七条第一款，第五十九条，第六十四条之规定，判决如下：</w:t>
      </w:r>
    </w:p>
    <w:p w14:paraId="54983B95" w14:textId="77777777" w:rsidR="001A42B4" w:rsidRDefault="001A42B4">
      <w:pPr>
        <w:spacing w:line="500" w:lineRule="atLeast"/>
        <w:ind w:firstLine="600"/>
        <w:divId w:val="234559214"/>
        <w:rPr>
          <w:rFonts w:hint="eastAsia"/>
          <w:sz w:val="30"/>
          <w:szCs w:val="30"/>
        </w:rPr>
      </w:pPr>
      <w:r>
        <w:rPr>
          <w:rFonts w:hint="eastAsia"/>
          <w:sz w:val="30"/>
          <w:szCs w:val="30"/>
        </w:rPr>
        <w:t>一、被告人何振洁犯受贿罪，判处有期徒刑五年六个月，并处没收财产人民币十万元；犯帮助犯罪分子逃避处罚罪，判处有期徒刑一年六个月；决定执行有期徒刑六年，并处没收财产人民币十万元。</w:t>
      </w:r>
    </w:p>
    <w:p w14:paraId="6F32A38F" w14:textId="77777777" w:rsidR="001A42B4" w:rsidRDefault="001A42B4">
      <w:pPr>
        <w:spacing w:line="500" w:lineRule="atLeast"/>
        <w:ind w:firstLine="600"/>
        <w:divId w:val="10612539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日止；没收财产在本判决发生法律效力之次日起一个月内向本院交纳，上缴国库。）</w:t>
      </w:r>
    </w:p>
    <w:p w14:paraId="04B99C64" w14:textId="77777777" w:rsidR="001A42B4" w:rsidRDefault="001A42B4">
      <w:pPr>
        <w:spacing w:line="500" w:lineRule="atLeast"/>
        <w:ind w:firstLine="600"/>
        <w:divId w:val="682172187"/>
        <w:rPr>
          <w:rFonts w:hint="eastAsia"/>
          <w:sz w:val="30"/>
          <w:szCs w:val="30"/>
        </w:rPr>
      </w:pPr>
      <w:r>
        <w:rPr>
          <w:rFonts w:hint="eastAsia"/>
          <w:sz w:val="30"/>
          <w:szCs w:val="30"/>
        </w:rPr>
        <w:t>二、扣押的赃款人民币</w:t>
      </w:r>
      <w:r>
        <w:rPr>
          <w:rFonts w:hint="eastAsia"/>
          <w:sz w:val="30"/>
          <w:szCs w:val="30"/>
        </w:rPr>
        <w:t>18.3</w:t>
      </w:r>
      <w:r>
        <w:rPr>
          <w:rFonts w:hint="eastAsia"/>
          <w:sz w:val="30"/>
          <w:szCs w:val="30"/>
        </w:rPr>
        <w:t>万元由广州市荔湾区人民检察院予以没收，上缴国库。</w:t>
      </w:r>
    </w:p>
    <w:p w14:paraId="5FB14A1F" w14:textId="77777777" w:rsidR="001A42B4" w:rsidRDefault="001A42B4">
      <w:pPr>
        <w:spacing w:line="500" w:lineRule="atLeast"/>
        <w:ind w:firstLine="600"/>
        <w:divId w:val="131059440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F755E08" w14:textId="77777777" w:rsidR="001A42B4" w:rsidRDefault="001A42B4">
      <w:pPr>
        <w:spacing w:line="500" w:lineRule="atLeast"/>
        <w:jc w:val="right"/>
        <w:divId w:val="887449541"/>
        <w:rPr>
          <w:rFonts w:hint="eastAsia"/>
          <w:sz w:val="30"/>
          <w:szCs w:val="30"/>
        </w:rPr>
      </w:pPr>
      <w:r>
        <w:rPr>
          <w:rFonts w:hint="eastAsia"/>
          <w:sz w:val="30"/>
          <w:szCs w:val="30"/>
        </w:rPr>
        <w:t>审　判　长　　黄　</w:t>
      </w:r>
    </w:p>
    <w:p w14:paraId="44A5196B" w14:textId="77777777" w:rsidR="001A42B4" w:rsidRDefault="001A42B4">
      <w:pPr>
        <w:spacing w:line="500" w:lineRule="atLeast"/>
        <w:jc w:val="right"/>
        <w:divId w:val="150949685"/>
        <w:rPr>
          <w:rFonts w:hint="eastAsia"/>
          <w:sz w:val="30"/>
          <w:szCs w:val="30"/>
        </w:rPr>
      </w:pPr>
      <w:r>
        <w:rPr>
          <w:rFonts w:hint="eastAsia"/>
          <w:sz w:val="30"/>
          <w:szCs w:val="30"/>
        </w:rPr>
        <w:t>人民陪审员　　黄为民</w:t>
      </w:r>
    </w:p>
    <w:p w14:paraId="0CCD06C6" w14:textId="77777777" w:rsidR="001A42B4" w:rsidRDefault="001A42B4">
      <w:pPr>
        <w:spacing w:line="500" w:lineRule="atLeast"/>
        <w:jc w:val="right"/>
        <w:divId w:val="1005782970"/>
        <w:rPr>
          <w:rFonts w:hint="eastAsia"/>
          <w:sz w:val="30"/>
          <w:szCs w:val="30"/>
        </w:rPr>
      </w:pPr>
      <w:r>
        <w:rPr>
          <w:rFonts w:hint="eastAsia"/>
          <w:sz w:val="30"/>
          <w:szCs w:val="30"/>
        </w:rPr>
        <w:t>人民陪审员　　王　震</w:t>
      </w:r>
    </w:p>
    <w:p w14:paraId="308998CC" w14:textId="77777777" w:rsidR="001A42B4" w:rsidRDefault="001A42B4">
      <w:pPr>
        <w:spacing w:line="500" w:lineRule="atLeast"/>
        <w:jc w:val="right"/>
        <w:divId w:val="1755935924"/>
        <w:rPr>
          <w:rFonts w:hint="eastAsia"/>
          <w:sz w:val="30"/>
          <w:szCs w:val="30"/>
        </w:rPr>
      </w:pPr>
      <w:r>
        <w:rPr>
          <w:rFonts w:hint="eastAsia"/>
          <w:sz w:val="30"/>
          <w:szCs w:val="30"/>
        </w:rPr>
        <w:t>二〇一三年八月二十九日</w:t>
      </w:r>
    </w:p>
    <w:p w14:paraId="29B78CCC" w14:textId="77777777" w:rsidR="001A42B4" w:rsidRDefault="001A42B4">
      <w:pPr>
        <w:spacing w:line="500" w:lineRule="atLeast"/>
        <w:jc w:val="right"/>
        <w:divId w:val="925109918"/>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0981" w14:textId="77777777" w:rsidR="001A42B4" w:rsidRDefault="001A42B4" w:rsidP="001A42B4">
      <w:pPr>
        <w:rPr>
          <w:rFonts w:hint="eastAsia"/>
        </w:rPr>
      </w:pPr>
      <w:r>
        <w:separator/>
      </w:r>
    </w:p>
  </w:endnote>
  <w:endnote w:type="continuationSeparator" w:id="0">
    <w:p w14:paraId="51CBE0CE" w14:textId="77777777" w:rsidR="001A42B4" w:rsidRDefault="001A42B4" w:rsidP="001A42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DDD74" w14:textId="77777777" w:rsidR="001A42B4" w:rsidRDefault="001A42B4" w:rsidP="001A42B4">
      <w:pPr>
        <w:rPr>
          <w:rFonts w:hint="eastAsia"/>
        </w:rPr>
      </w:pPr>
      <w:r>
        <w:separator/>
      </w:r>
    </w:p>
  </w:footnote>
  <w:footnote w:type="continuationSeparator" w:id="0">
    <w:p w14:paraId="51F40391" w14:textId="77777777" w:rsidR="001A42B4" w:rsidRDefault="001A42B4" w:rsidP="001A42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42B4"/>
    <w:rsid w:val="001A42B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D775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42B4"/>
    <w:pPr>
      <w:tabs>
        <w:tab w:val="center" w:pos="4153"/>
        <w:tab w:val="right" w:pos="8306"/>
      </w:tabs>
      <w:snapToGrid w:val="0"/>
      <w:jc w:val="center"/>
    </w:pPr>
    <w:rPr>
      <w:sz w:val="18"/>
      <w:szCs w:val="18"/>
    </w:rPr>
  </w:style>
  <w:style w:type="character" w:customStyle="1" w:styleId="a4">
    <w:name w:val="页眉 字符"/>
    <w:basedOn w:val="a0"/>
    <w:link w:val="a3"/>
    <w:uiPriority w:val="99"/>
    <w:rsid w:val="001A42B4"/>
    <w:rPr>
      <w:rFonts w:ascii="宋体" w:eastAsia="宋体" w:hAnsi="宋体" w:cs="宋体"/>
      <w:sz w:val="18"/>
      <w:szCs w:val="18"/>
    </w:rPr>
  </w:style>
  <w:style w:type="paragraph" w:styleId="a5">
    <w:name w:val="footer"/>
    <w:basedOn w:val="a"/>
    <w:link w:val="a6"/>
    <w:uiPriority w:val="99"/>
    <w:unhideWhenUsed/>
    <w:rsid w:val="001A42B4"/>
    <w:pPr>
      <w:tabs>
        <w:tab w:val="center" w:pos="4153"/>
        <w:tab w:val="right" w:pos="8306"/>
      </w:tabs>
      <w:snapToGrid w:val="0"/>
    </w:pPr>
    <w:rPr>
      <w:sz w:val="18"/>
      <w:szCs w:val="18"/>
    </w:rPr>
  </w:style>
  <w:style w:type="character" w:customStyle="1" w:styleId="a6">
    <w:name w:val="页脚 字符"/>
    <w:basedOn w:val="a0"/>
    <w:link w:val="a5"/>
    <w:uiPriority w:val="99"/>
    <w:rsid w:val="001A42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616">
      <w:marLeft w:val="0"/>
      <w:marRight w:val="0"/>
      <w:marTop w:val="10"/>
      <w:marBottom w:val="10"/>
      <w:divBdr>
        <w:top w:val="none" w:sz="0" w:space="0" w:color="auto"/>
        <w:left w:val="none" w:sz="0" w:space="0" w:color="auto"/>
        <w:bottom w:val="none" w:sz="0" w:space="0" w:color="auto"/>
        <w:right w:val="none" w:sz="0" w:space="0" w:color="auto"/>
      </w:divBdr>
    </w:div>
    <w:div w:id="150949685">
      <w:marLeft w:val="0"/>
      <w:marRight w:val="720"/>
      <w:marTop w:val="10"/>
      <w:marBottom w:val="10"/>
      <w:divBdr>
        <w:top w:val="none" w:sz="0" w:space="0" w:color="auto"/>
        <w:left w:val="none" w:sz="0" w:space="0" w:color="auto"/>
        <w:bottom w:val="none" w:sz="0" w:space="0" w:color="auto"/>
        <w:right w:val="none" w:sz="0" w:space="0" w:color="auto"/>
      </w:divBdr>
    </w:div>
    <w:div w:id="234559214">
      <w:marLeft w:val="0"/>
      <w:marRight w:val="0"/>
      <w:marTop w:val="10"/>
      <w:marBottom w:val="10"/>
      <w:divBdr>
        <w:top w:val="none" w:sz="0" w:space="0" w:color="auto"/>
        <w:left w:val="none" w:sz="0" w:space="0" w:color="auto"/>
        <w:bottom w:val="none" w:sz="0" w:space="0" w:color="auto"/>
        <w:right w:val="none" w:sz="0" w:space="0" w:color="auto"/>
      </w:divBdr>
    </w:div>
    <w:div w:id="349719591">
      <w:marLeft w:val="0"/>
      <w:marRight w:val="0"/>
      <w:marTop w:val="10"/>
      <w:marBottom w:val="10"/>
      <w:divBdr>
        <w:top w:val="none" w:sz="0" w:space="0" w:color="auto"/>
        <w:left w:val="none" w:sz="0" w:space="0" w:color="auto"/>
        <w:bottom w:val="none" w:sz="0" w:space="0" w:color="auto"/>
        <w:right w:val="none" w:sz="0" w:space="0" w:color="auto"/>
      </w:divBdr>
    </w:div>
    <w:div w:id="357976663">
      <w:marLeft w:val="0"/>
      <w:marRight w:val="0"/>
      <w:marTop w:val="10"/>
      <w:marBottom w:val="10"/>
      <w:divBdr>
        <w:top w:val="none" w:sz="0" w:space="0" w:color="auto"/>
        <w:left w:val="none" w:sz="0" w:space="0" w:color="auto"/>
        <w:bottom w:val="none" w:sz="0" w:space="0" w:color="auto"/>
        <w:right w:val="none" w:sz="0" w:space="0" w:color="auto"/>
      </w:divBdr>
    </w:div>
    <w:div w:id="371349396">
      <w:marLeft w:val="0"/>
      <w:marRight w:val="0"/>
      <w:marTop w:val="10"/>
      <w:marBottom w:val="10"/>
      <w:divBdr>
        <w:top w:val="none" w:sz="0" w:space="0" w:color="auto"/>
        <w:left w:val="none" w:sz="0" w:space="0" w:color="auto"/>
        <w:bottom w:val="none" w:sz="0" w:space="0" w:color="auto"/>
        <w:right w:val="none" w:sz="0" w:space="0" w:color="auto"/>
      </w:divBdr>
    </w:div>
    <w:div w:id="393479383">
      <w:marLeft w:val="0"/>
      <w:marRight w:val="0"/>
      <w:marTop w:val="10"/>
      <w:marBottom w:val="10"/>
      <w:divBdr>
        <w:top w:val="none" w:sz="0" w:space="0" w:color="auto"/>
        <w:left w:val="none" w:sz="0" w:space="0" w:color="auto"/>
        <w:bottom w:val="none" w:sz="0" w:space="0" w:color="auto"/>
        <w:right w:val="none" w:sz="0" w:space="0" w:color="auto"/>
      </w:divBdr>
    </w:div>
    <w:div w:id="473330625">
      <w:marLeft w:val="0"/>
      <w:marRight w:val="0"/>
      <w:marTop w:val="10"/>
      <w:marBottom w:val="10"/>
      <w:divBdr>
        <w:top w:val="none" w:sz="0" w:space="0" w:color="auto"/>
        <w:left w:val="none" w:sz="0" w:space="0" w:color="auto"/>
        <w:bottom w:val="none" w:sz="0" w:space="0" w:color="auto"/>
        <w:right w:val="none" w:sz="0" w:space="0" w:color="auto"/>
      </w:divBdr>
    </w:div>
    <w:div w:id="682172187">
      <w:marLeft w:val="0"/>
      <w:marRight w:val="0"/>
      <w:marTop w:val="10"/>
      <w:marBottom w:val="10"/>
      <w:divBdr>
        <w:top w:val="none" w:sz="0" w:space="0" w:color="auto"/>
        <w:left w:val="none" w:sz="0" w:space="0" w:color="auto"/>
        <w:bottom w:val="none" w:sz="0" w:space="0" w:color="auto"/>
        <w:right w:val="none" w:sz="0" w:space="0" w:color="auto"/>
      </w:divBdr>
    </w:div>
    <w:div w:id="763262976">
      <w:marLeft w:val="0"/>
      <w:marRight w:val="0"/>
      <w:marTop w:val="10"/>
      <w:marBottom w:val="10"/>
      <w:divBdr>
        <w:top w:val="none" w:sz="0" w:space="0" w:color="auto"/>
        <w:left w:val="none" w:sz="0" w:space="0" w:color="auto"/>
        <w:bottom w:val="none" w:sz="0" w:space="0" w:color="auto"/>
        <w:right w:val="none" w:sz="0" w:space="0" w:color="auto"/>
      </w:divBdr>
    </w:div>
    <w:div w:id="887449541">
      <w:marLeft w:val="0"/>
      <w:marRight w:val="720"/>
      <w:marTop w:val="10"/>
      <w:marBottom w:val="10"/>
      <w:divBdr>
        <w:top w:val="none" w:sz="0" w:space="0" w:color="auto"/>
        <w:left w:val="none" w:sz="0" w:space="0" w:color="auto"/>
        <w:bottom w:val="none" w:sz="0" w:space="0" w:color="auto"/>
        <w:right w:val="none" w:sz="0" w:space="0" w:color="auto"/>
      </w:divBdr>
    </w:div>
    <w:div w:id="925109918">
      <w:marLeft w:val="0"/>
      <w:marRight w:val="720"/>
      <w:marTop w:val="10"/>
      <w:marBottom w:val="10"/>
      <w:divBdr>
        <w:top w:val="none" w:sz="0" w:space="0" w:color="auto"/>
        <w:left w:val="none" w:sz="0" w:space="0" w:color="auto"/>
        <w:bottom w:val="none" w:sz="0" w:space="0" w:color="auto"/>
        <w:right w:val="none" w:sz="0" w:space="0" w:color="auto"/>
      </w:divBdr>
    </w:div>
    <w:div w:id="1005782970">
      <w:marLeft w:val="0"/>
      <w:marRight w:val="720"/>
      <w:marTop w:val="10"/>
      <w:marBottom w:val="10"/>
      <w:divBdr>
        <w:top w:val="none" w:sz="0" w:space="0" w:color="auto"/>
        <w:left w:val="none" w:sz="0" w:space="0" w:color="auto"/>
        <w:bottom w:val="none" w:sz="0" w:space="0" w:color="auto"/>
        <w:right w:val="none" w:sz="0" w:space="0" w:color="auto"/>
      </w:divBdr>
    </w:div>
    <w:div w:id="1061253956">
      <w:marLeft w:val="0"/>
      <w:marRight w:val="0"/>
      <w:marTop w:val="10"/>
      <w:marBottom w:val="10"/>
      <w:divBdr>
        <w:top w:val="none" w:sz="0" w:space="0" w:color="auto"/>
        <w:left w:val="none" w:sz="0" w:space="0" w:color="auto"/>
        <w:bottom w:val="none" w:sz="0" w:space="0" w:color="auto"/>
        <w:right w:val="none" w:sz="0" w:space="0" w:color="auto"/>
      </w:divBdr>
    </w:div>
    <w:div w:id="1185627751">
      <w:marLeft w:val="0"/>
      <w:marRight w:val="0"/>
      <w:marTop w:val="10"/>
      <w:marBottom w:val="10"/>
      <w:divBdr>
        <w:top w:val="none" w:sz="0" w:space="0" w:color="auto"/>
        <w:left w:val="none" w:sz="0" w:space="0" w:color="auto"/>
        <w:bottom w:val="none" w:sz="0" w:space="0" w:color="auto"/>
        <w:right w:val="none" w:sz="0" w:space="0" w:color="auto"/>
      </w:divBdr>
    </w:div>
    <w:div w:id="1310594401">
      <w:marLeft w:val="0"/>
      <w:marRight w:val="0"/>
      <w:marTop w:val="10"/>
      <w:marBottom w:val="10"/>
      <w:divBdr>
        <w:top w:val="none" w:sz="0" w:space="0" w:color="auto"/>
        <w:left w:val="none" w:sz="0" w:space="0" w:color="auto"/>
        <w:bottom w:val="none" w:sz="0" w:space="0" w:color="auto"/>
        <w:right w:val="none" w:sz="0" w:space="0" w:color="auto"/>
      </w:divBdr>
    </w:div>
    <w:div w:id="1332299704">
      <w:marLeft w:val="0"/>
      <w:marRight w:val="0"/>
      <w:marTop w:val="10"/>
      <w:marBottom w:val="10"/>
      <w:divBdr>
        <w:top w:val="none" w:sz="0" w:space="0" w:color="auto"/>
        <w:left w:val="none" w:sz="0" w:space="0" w:color="auto"/>
        <w:bottom w:val="none" w:sz="0" w:space="0" w:color="auto"/>
        <w:right w:val="none" w:sz="0" w:space="0" w:color="auto"/>
      </w:divBdr>
    </w:div>
    <w:div w:id="1389845174">
      <w:marLeft w:val="0"/>
      <w:marRight w:val="0"/>
      <w:marTop w:val="10"/>
      <w:marBottom w:val="10"/>
      <w:divBdr>
        <w:top w:val="none" w:sz="0" w:space="0" w:color="auto"/>
        <w:left w:val="none" w:sz="0" w:space="0" w:color="auto"/>
        <w:bottom w:val="none" w:sz="0" w:space="0" w:color="auto"/>
        <w:right w:val="none" w:sz="0" w:space="0" w:color="auto"/>
      </w:divBdr>
    </w:div>
    <w:div w:id="1408531854">
      <w:marLeft w:val="0"/>
      <w:marRight w:val="0"/>
      <w:marTop w:val="10"/>
      <w:marBottom w:val="10"/>
      <w:divBdr>
        <w:top w:val="none" w:sz="0" w:space="0" w:color="auto"/>
        <w:left w:val="none" w:sz="0" w:space="0" w:color="auto"/>
        <w:bottom w:val="none" w:sz="0" w:space="0" w:color="auto"/>
        <w:right w:val="none" w:sz="0" w:space="0" w:color="auto"/>
      </w:divBdr>
    </w:div>
    <w:div w:id="1408724166">
      <w:marLeft w:val="0"/>
      <w:marRight w:val="0"/>
      <w:marTop w:val="10"/>
      <w:marBottom w:val="10"/>
      <w:divBdr>
        <w:top w:val="none" w:sz="0" w:space="0" w:color="auto"/>
        <w:left w:val="none" w:sz="0" w:space="0" w:color="auto"/>
        <w:bottom w:val="none" w:sz="0" w:space="0" w:color="auto"/>
        <w:right w:val="none" w:sz="0" w:space="0" w:color="auto"/>
      </w:divBdr>
    </w:div>
    <w:div w:id="1755935924">
      <w:marLeft w:val="0"/>
      <w:marRight w:val="720"/>
      <w:marTop w:val="10"/>
      <w:marBottom w:val="10"/>
      <w:divBdr>
        <w:top w:val="none" w:sz="0" w:space="0" w:color="auto"/>
        <w:left w:val="none" w:sz="0" w:space="0" w:color="auto"/>
        <w:bottom w:val="none" w:sz="0" w:space="0" w:color="auto"/>
        <w:right w:val="none" w:sz="0" w:space="0" w:color="auto"/>
      </w:divBdr>
    </w:div>
    <w:div w:id="1828938362">
      <w:marLeft w:val="0"/>
      <w:marRight w:val="0"/>
      <w:marTop w:val="10"/>
      <w:marBottom w:val="10"/>
      <w:divBdr>
        <w:top w:val="none" w:sz="0" w:space="0" w:color="auto"/>
        <w:left w:val="none" w:sz="0" w:space="0" w:color="auto"/>
        <w:bottom w:val="none" w:sz="0" w:space="0" w:color="auto"/>
        <w:right w:val="none" w:sz="0" w:space="0" w:color="auto"/>
      </w:divBdr>
    </w:div>
    <w:div w:id="18637812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