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7FFC9" w14:textId="77777777" w:rsidR="00CD149C" w:rsidRDefault="00CD149C">
      <w:pPr>
        <w:spacing w:line="500" w:lineRule="atLeast"/>
        <w:jc w:val="center"/>
        <w:divId w:val="596908185"/>
        <w:rPr>
          <w:rFonts w:ascii="黑体" w:eastAsia="黑体" w:hAnsi="黑体"/>
          <w:sz w:val="36"/>
          <w:szCs w:val="36"/>
        </w:rPr>
      </w:pPr>
      <w:r>
        <w:rPr>
          <w:rFonts w:ascii="黑体" w:eastAsia="黑体" w:hAnsi="黑体" w:hint="eastAsia"/>
          <w:sz w:val="36"/>
          <w:szCs w:val="36"/>
        </w:rPr>
        <w:t>广东省中山市第一人民法院</w:t>
      </w:r>
    </w:p>
    <w:p w14:paraId="0A2CC286" w14:textId="77777777" w:rsidR="00CD149C" w:rsidRDefault="00CD149C">
      <w:pPr>
        <w:spacing w:line="500" w:lineRule="atLeast"/>
        <w:jc w:val="center"/>
        <w:divId w:val="106660908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22F55DC" w14:textId="77777777" w:rsidR="00CD149C" w:rsidRDefault="00CD149C">
      <w:pPr>
        <w:spacing w:line="500" w:lineRule="atLeast"/>
        <w:jc w:val="right"/>
        <w:divId w:val="752506583"/>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2071</w:t>
      </w:r>
      <w:r>
        <w:rPr>
          <w:rFonts w:hint="eastAsia"/>
          <w:sz w:val="30"/>
          <w:szCs w:val="30"/>
        </w:rPr>
        <w:t>刑初</w:t>
      </w:r>
      <w:r>
        <w:rPr>
          <w:rFonts w:hint="eastAsia"/>
          <w:sz w:val="30"/>
          <w:szCs w:val="30"/>
        </w:rPr>
        <w:t>2001</w:t>
      </w:r>
      <w:r>
        <w:rPr>
          <w:rFonts w:hint="eastAsia"/>
          <w:sz w:val="30"/>
          <w:szCs w:val="30"/>
        </w:rPr>
        <w:t>号</w:t>
      </w:r>
    </w:p>
    <w:p w14:paraId="1CFDC831" w14:textId="77777777" w:rsidR="00CD149C" w:rsidRDefault="00CD149C">
      <w:pPr>
        <w:spacing w:line="500" w:lineRule="atLeast"/>
        <w:ind w:firstLine="600"/>
        <w:divId w:val="283583216"/>
        <w:rPr>
          <w:rFonts w:hint="eastAsia"/>
          <w:sz w:val="30"/>
          <w:szCs w:val="30"/>
        </w:rPr>
      </w:pPr>
      <w:r>
        <w:rPr>
          <w:rFonts w:hint="eastAsia"/>
          <w:sz w:val="30"/>
          <w:szCs w:val="30"/>
        </w:rPr>
        <w:t>公诉机关中山市第一市区人民检察院。</w:t>
      </w:r>
    </w:p>
    <w:p w14:paraId="4EF5CF99" w14:textId="77777777" w:rsidR="00CD149C" w:rsidRDefault="00CD149C">
      <w:pPr>
        <w:spacing w:line="500" w:lineRule="atLeast"/>
        <w:ind w:firstLine="600"/>
        <w:divId w:val="1660957466"/>
        <w:rPr>
          <w:rFonts w:hint="eastAsia"/>
          <w:sz w:val="30"/>
          <w:szCs w:val="30"/>
        </w:rPr>
      </w:pPr>
      <w:r>
        <w:rPr>
          <w:rFonts w:hint="eastAsia"/>
          <w:sz w:val="30"/>
          <w:szCs w:val="30"/>
        </w:rPr>
        <w:t>被告人何敏坚，男，</w:t>
      </w:r>
      <w:r>
        <w:rPr>
          <w:rFonts w:hint="eastAsia"/>
          <w:sz w:val="30"/>
          <w:szCs w:val="30"/>
        </w:rPr>
        <w:t>1973</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日出生于广东省中山市，汉族，中专文化，原系中国建设银行中山市分行板芙办事处副主任（正股级），户籍所在地中山市东区。因本案于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日被羁押，次日被刑事拘留，同年</w:t>
      </w:r>
      <w:r>
        <w:rPr>
          <w:rFonts w:hint="eastAsia"/>
          <w:sz w:val="30"/>
          <w:szCs w:val="30"/>
        </w:rPr>
        <w:t>6</w:t>
      </w:r>
      <w:r>
        <w:rPr>
          <w:rFonts w:hint="eastAsia"/>
          <w:sz w:val="30"/>
          <w:szCs w:val="30"/>
        </w:rPr>
        <w:t>月</w:t>
      </w:r>
      <w:r>
        <w:rPr>
          <w:rFonts w:hint="eastAsia"/>
          <w:sz w:val="30"/>
          <w:szCs w:val="30"/>
        </w:rPr>
        <w:t>9</w:t>
      </w:r>
      <w:r>
        <w:rPr>
          <w:rFonts w:hint="eastAsia"/>
          <w:sz w:val="30"/>
          <w:szCs w:val="30"/>
        </w:rPr>
        <w:t>日被逮捕。现押于中山市看守所。</w:t>
      </w:r>
    </w:p>
    <w:p w14:paraId="472A0B94" w14:textId="77777777" w:rsidR="00CD149C" w:rsidRDefault="00CD149C">
      <w:pPr>
        <w:spacing w:line="500" w:lineRule="atLeast"/>
        <w:ind w:firstLine="600"/>
        <w:divId w:val="112722511"/>
        <w:rPr>
          <w:rFonts w:hint="eastAsia"/>
          <w:sz w:val="30"/>
          <w:szCs w:val="30"/>
        </w:rPr>
      </w:pPr>
      <w:r>
        <w:rPr>
          <w:rFonts w:hint="eastAsia"/>
          <w:sz w:val="30"/>
          <w:szCs w:val="30"/>
        </w:rPr>
        <w:t>辩护人黄鸿健、李小美，广东金丰华律师事务所律师。</w:t>
      </w:r>
    </w:p>
    <w:p w14:paraId="330B154B" w14:textId="77777777" w:rsidR="00CD149C" w:rsidRDefault="00CD149C">
      <w:pPr>
        <w:spacing w:line="500" w:lineRule="atLeast"/>
        <w:ind w:firstLine="600"/>
        <w:divId w:val="722797648"/>
        <w:rPr>
          <w:rFonts w:hint="eastAsia"/>
          <w:sz w:val="30"/>
          <w:szCs w:val="30"/>
        </w:rPr>
      </w:pPr>
      <w:r>
        <w:rPr>
          <w:rFonts w:hint="eastAsia"/>
          <w:sz w:val="30"/>
          <w:szCs w:val="30"/>
        </w:rPr>
        <w:t>中山市第一市区人民检察院以中检一区刑诉〔</w:t>
      </w:r>
      <w:r>
        <w:rPr>
          <w:rFonts w:hint="eastAsia"/>
          <w:sz w:val="30"/>
          <w:szCs w:val="30"/>
        </w:rPr>
        <w:t>2017</w:t>
      </w:r>
      <w:r>
        <w:rPr>
          <w:rFonts w:hint="eastAsia"/>
          <w:sz w:val="30"/>
          <w:szCs w:val="30"/>
        </w:rPr>
        <w:t>〕</w:t>
      </w:r>
      <w:r>
        <w:rPr>
          <w:rFonts w:hint="eastAsia"/>
          <w:sz w:val="30"/>
          <w:szCs w:val="30"/>
        </w:rPr>
        <w:t>2048</w:t>
      </w:r>
      <w:r>
        <w:rPr>
          <w:rFonts w:hint="eastAsia"/>
          <w:sz w:val="30"/>
          <w:szCs w:val="30"/>
        </w:rPr>
        <w:t>号起诉书及中检一区刑变诉〔</w:t>
      </w:r>
      <w:r>
        <w:rPr>
          <w:rFonts w:hint="eastAsia"/>
          <w:sz w:val="30"/>
          <w:szCs w:val="30"/>
        </w:rPr>
        <w:t>2017</w:t>
      </w:r>
      <w:r>
        <w:rPr>
          <w:rFonts w:hint="eastAsia"/>
          <w:sz w:val="30"/>
          <w:szCs w:val="30"/>
        </w:rPr>
        <w:t>〕</w:t>
      </w:r>
      <w:r>
        <w:rPr>
          <w:rFonts w:hint="eastAsia"/>
          <w:sz w:val="30"/>
          <w:szCs w:val="30"/>
        </w:rPr>
        <w:t>19</w:t>
      </w:r>
      <w:r>
        <w:rPr>
          <w:rFonts w:hint="eastAsia"/>
          <w:sz w:val="30"/>
          <w:szCs w:val="30"/>
        </w:rPr>
        <w:t>号变更起诉决定书指控被告人何敏坚犯挪用公款、贪污罪，于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日向本院提起公诉，后于同年</w:t>
      </w:r>
      <w:r>
        <w:rPr>
          <w:rFonts w:hint="eastAsia"/>
          <w:sz w:val="30"/>
          <w:szCs w:val="30"/>
        </w:rPr>
        <w:t>12</w:t>
      </w:r>
      <w:r>
        <w:rPr>
          <w:rFonts w:hint="eastAsia"/>
          <w:sz w:val="30"/>
          <w:szCs w:val="30"/>
        </w:rPr>
        <w:t>月</w:t>
      </w:r>
      <w:r>
        <w:rPr>
          <w:rFonts w:hint="eastAsia"/>
          <w:sz w:val="30"/>
          <w:szCs w:val="30"/>
        </w:rPr>
        <w:t>5</w:t>
      </w:r>
      <w:r>
        <w:rPr>
          <w:rFonts w:hint="eastAsia"/>
          <w:sz w:val="30"/>
          <w:szCs w:val="30"/>
        </w:rPr>
        <w:t>日变更起诉部分犯罪事实。本院依法组成合议庭，公开开庭审理了本案。中山市第一市区人民检察院指派检察员陈保生出庭支持公诉，被告人何敏坚及其辩护人黄鸿健到庭参加诉讼。现已审理终结。</w:t>
      </w:r>
    </w:p>
    <w:p w14:paraId="4B3CA0A2" w14:textId="77777777" w:rsidR="00CD149C" w:rsidRDefault="00CD149C">
      <w:pPr>
        <w:spacing w:line="500" w:lineRule="atLeast"/>
        <w:ind w:firstLine="600"/>
        <w:divId w:val="2019193152"/>
        <w:rPr>
          <w:rFonts w:hint="eastAsia"/>
          <w:sz w:val="30"/>
          <w:szCs w:val="30"/>
        </w:rPr>
      </w:pPr>
      <w:r>
        <w:rPr>
          <w:rFonts w:hint="eastAsia"/>
          <w:sz w:val="30"/>
          <w:szCs w:val="30"/>
        </w:rPr>
        <w:t>经审理查明：</w:t>
      </w:r>
      <w:r>
        <w:rPr>
          <w:rFonts w:hint="eastAsia"/>
          <w:sz w:val="30"/>
          <w:szCs w:val="30"/>
        </w:rPr>
        <w:t>1996</w:t>
      </w:r>
      <w:r>
        <w:rPr>
          <w:rFonts w:hint="eastAsia"/>
          <w:sz w:val="30"/>
          <w:szCs w:val="30"/>
        </w:rPr>
        <w:t>年下半年至</w:t>
      </w:r>
      <w:r>
        <w:rPr>
          <w:rFonts w:hint="eastAsia"/>
          <w:sz w:val="30"/>
          <w:szCs w:val="30"/>
        </w:rPr>
        <w:t>1997</w:t>
      </w:r>
      <w:r>
        <w:rPr>
          <w:rFonts w:hint="eastAsia"/>
          <w:sz w:val="30"/>
          <w:szCs w:val="30"/>
        </w:rPr>
        <w:t>年</w:t>
      </w:r>
      <w:r>
        <w:rPr>
          <w:rFonts w:hint="eastAsia"/>
          <w:sz w:val="30"/>
          <w:szCs w:val="30"/>
        </w:rPr>
        <w:t>4</w:t>
      </w:r>
      <w:r>
        <w:rPr>
          <w:rFonts w:hint="eastAsia"/>
          <w:sz w:val="30"/>
          <w:szCs w:val="30"/>
        </w:rPr>
        <w:t>月，被告人何敏坚在担任中国建设银行中山市分行板芙办事处副主任期间，利用职务上的便利，通过许诺高息，吸收储户在中国建设银行中山市分行板芙办事处存款后，要求保管储户的存折或私下将储户资金转入其控制的账户后陆续转账或取出，用于其个人经营的典押行的高息抵押放贷等业务。现已查明，被告人何敏坚先后挪用了板芙镇劳动管理所的人民币</w:t>
      </w:r>
      <w:r>
        <w:rPr>
          <w:rFonts w:hint="eastAsia"/>
          <w:sz w:val="30"/>
          <w:szCs w:val="30"/>
        </w:rPr>
        <w:t>28</w:t>
      </w:r>
      <w:r>
        <w:rPr>
          <w:rFonts w:hint="eastAsia"/>
          <w:sz w:val="30"/>
          <w:szCs w:val="30"/>
        </w:rPr>
        <w:t>万元、板芙镇居民林某</w:t>
      </w:r>
      <w:r>
        <w:rPr>
          <w:rFonts w:hint="eastAsia"/>
          <w:sz w:val="30"/>
          <w:szCs w:val="30"/>
        </w:rPr>
        <w:t>3</w:t>
      </w:r>
      <w:r>
        <w:rPr>
          <w:rFonts w:hint="eastAsia"/>
          <w:sz w:val="30"/>
          <w:szCs w:val="30"/>
        </w:rPr>
        <w:t>人民币</w:t>
      </w:r>
      <w:r>
        <w:rPr>
          <w:rFonts w:hint="eastAsia"/>
          <w:sz w:val="30"/>
          <w:szCs w:val="30"/>
        </w:rPr>
        <w:t>20</w:t>
      </w:r>
      <w:r>
        <w:rPr>
          <w:rFonts w:hint="eastAsia"/>
          <w:sz w:val="30"/>
          <w:szCs w:val="30"/>
        </w:rPr>
        <w:t>万元及林某</w:t>
      </w:r>
      <w:r>
        <w:rPr>
          <w:rFonts w:hint="eastAsia"/>
          <w:sz w:val="30"/>
          <w:szCs w:val="30"/>
        </w:rPr>
        <w:t>4</w:t>
      </w:r>
      <w:r>
        <w:rPr>
          <w:rFonts w:hint="eastAsia"/>
          <w:sz w:val="30"/>
          <w:szCs w:val="30"/>
        </w:rPr>
        <w:t>人民币</w:t>
      </w:r>
      <w:r>
        <w:rPr>
          <w:rFonts w:hint="eastAsia"/>
          <w:sz w:val="30"/>
          <w:szCs w:val="30"/>
        </w:rPr>
        <w:t>36</w:t>
      </w:r>
      <w:r>
        <w:rPr>
          <w:rFonts w:hint="eastAsia"/>
          <w:sz w:val="30"/>
          <w:szCs w:val="30"/>
        </w:rPr>
        <w:t>万元、兰州储户房某、姬某人民币</w:t>
      </w:r>
      <w:r>
        <w:rPr>
          <w:rFonts w:hint="eastAsia"/>
          <w:sz w:val="30"/>
          <w:szCs w:val="30"/>
        </w:rPr>
        <w:t>500</w:t>
      </w:r>
      <w:r>
        <w:rPr>
          <w:rFonts w:hint="eastAsia"/>
          <w:sz w:val="30"/>
          <w:szCs w:val="30"/>
        </w:rPr>
        <w:t>万元，用于个人经营活动。</w:t>
      </w:r>
      <w:r>
        <w:rPr>
          <w:rFonts w:hint="eastAsia"/>
          <w:sz w:val="30"/>
          <w:szCs w:val="30"/>
        </w:rPr>
        <w:t>1997</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w:t>
      </w:r>
      <w:r>
        <w:rPr>
          <w:rFonts w:hint="eastAsia"/>
          <w:sz w:val="30"/>
          <w:szCs w:val="30"/>
        </w:rPr>
        <w:lastRenderedPageBreak/>
        <w:t>被告人何敏坚得知其挪用公款的行为败露后，携带其中的人民币</w:t>
      </w:r>
      <w:r>
        <w:rPr>
          <w:rFonts w:hint="eastAsia"/>
          <w:sz w:val="30"/>
          <w:szCs w:val="30"/>
        </w:rPr>
        <w:t>60</w:t>
      </w:r>
      <w:r>
        <w:rPr>
          <w:rFonts w:hint="eastAsia"/>
          <w:sz w:val="30"/>
          <w:szCs w:val="30"/>
        </w:rPr>
        <w:t>万元潜逃。</w:t>
      </w:r>
    </w:p>
    <w:p w14:paraId="6FEB3E24" w14:textId="77777777" w:rsidR="00CD149C" w:rsidRDefault="00CD149C">
      <w:pPr>
        <w:spacing w:line="500" w:lineRule="atLeast"/>
        <w:ind w:firstLine="600"/>
        <w:divId w:val="1207452972"/>
        <w:rPr>
          <w:rFonts w:hint="eastAsia"/>
          <w:sz w:val="30"/>
          <w:szCs w:val="30"/>
        </w:rPr>
      </w:pP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日，被告人何敏坚在广州市白云区被抓获，归案后如实供述了其罪行。破案后，赃款未能缴回。</w:t>
      </w:r>
    </w:p>
    <w:p w14:paraId="2EBBDC5F" w14:textId="77777777" w:rsidR="00CD149C" w:rsidRDefault="00CD149C">
      <w:pPr>
        <w:spacing w:line="500" w:lineRule="atLeast"/>
        <w:ind w:firstLine="600"/>
        <w:divId w:val="976566260"/>
        <w:rPr>
          <w:rFonts w:hint="eastAsia"/>
          <w:sz w:val="30"/>
          <w:szCs w:val="30"/>
        </w:rPr>
      </w:pPr>
      <w:r>
        <w:rPr>
          <w:rFonts w:hint="eastAsia"/>
          <w:sz w:val="30"/>
          <w:szCs w:val="30"/>
        </w:rPr>
        <w:t>上述基本事实，被告人何敏坚在庭审中亦无异议，并有中国建设银行中山市分行提供的关于对何敏坚立案侦查的请示（报案材料）、中山市人民检察院反贪局侦查二科的抓获经过及破案报告、证人刘某</w:t>
      </w:r>
      <w:r>
        <w:rPr>
          <w:rFonts w:hint="eastAsia"/>
          <w:sz w:val="30"/>
          <w:szCs w:val="30"/>
        </w:rPr>
        <w:t>1</w:t>
      </w:r>
      <w:r>
        <w:rPr>
          <w:rFonts w:hint="eastAsia"/>
          <w:sz w:val="30"/>
          <w:szCs w:val="30"/>
        </w:rPr>
        <w:t>、吴某</w:t>
      </w:r>
      <w:r>
        <w:rPr>
          <w:rFonts w:hint="eastAsia"/>
          <w:sz w:val="30"/>
          <w:szCs w:val="30"/>
        </w:rPr>
        <w:t>1</w:t>
      </w:r>
      <w:r>
        <w:rPr>
          <w:rFonts w:hint="eastAsia"/>
          <w:sz w:val="30"/>
          <w:szCs w:val="30"/>
        </w:rPr>
        <w:t>、周某、梁某、叶某</w:t>
      </w:r>
      <w:r>
        <w:rPr>
          <w:rFonts w:hint="eastAsia"/>
          <w:sz w:val="30"/>
          <w:szCs w:val="30"/>
        </w:rPr>
        <w:t>1</w:t>
      </w:r>
      <w:r>
        <w:rPr>
          <w:rFonts w:hint="eastAsia"/>
          <w:sz w:val="30"/>
          <w:szCs w:val="30"/>
        </w:rPr>
        <w:t>、林某</w:t>
      </w:r>
      <w:r>
        <w:rPr>
          <w:rFonts w:hint="eastAsia"/>
          <w:sz w:val="30"/>
          <w:szCs w:val="30"/>
        </w:rPr>
        <w:t>1</w:t>
      </w:r>
      <w:r>
        <w:rPr>
          <w:rFonts w:hint="eastAsia"/>
          <w:sz w:val="30"/>
          <w:szCs w:val="30"/>
        </w:rPr>
        <w:t>、林某</w:t>
      </w:r>
      <w:r>
        <w:rPr>
          <w:rFonts w:hint="eastAsia"/>
          <w:sz w:val="30"/>
          <w:szCs w:val="30"/>
        </w:rPr>
        <w:t>2</w:t>
      </w:r>
      <w:r>
        <w:rPr>
          <w:rFonts w:hint="eastAsia"/>
          <w:sz w:val="30"/>
          <w:szCs w:val="30"/>
        </w:rPr>
        <w:t>、肖某、房向阳、蔡某、卢某、吴某</w:t>
      </w:r>
      <w:r>
        <w:rPr>
          <w:rFonts w:hint="eastAsia"/>
          <w:sz w:val="30"/>
          <w:szCs w:val="30"/>
        </w:rPr>
        <w:t>2</w:t>
      </w:r>
      <w:r>
        <w:rPr>
          <w:rFonts w:hint="eastAsia"/>
          <w:sz w:val="30"/>
          <w:szCs w:val="30"/>
        </w:rPr>
        <w:t>、黄锐强的证言、中国建设银行中山市分行提供的情况说明及资料、中山市工商行政管理局提供的企业机读档案登记资料等资料、证人叶某</w:t>
      </w:r>
      <w:r>
        <w:rPr>
          <w:rFonts w:hint="eastAsia"/>
          <w:sz w:val="30"/>
          <w:szCs w:val="30"/>
        </w:rPr>
        <w:t>2</w:t>
      </w:r>
      <w:r>
        <w:rPr>
          <w:rFonts w:hint="eastAsia"/>
          <w:sz w:val="30"/>
          <w:szCs w:val="30"/>
        </w:rPr>
        <w:t>、林某</w:t>
      </w:r>
      <w:r>
        <w:rPr>
          <w:rFonts w:hint="eastAsia"/>
          <w:sz w:val="30"/>
          <w:szCs w:val="30"/>
        </w:rPr>
        <w:t>1</w:t>
      </w:r>
      <w:r>
        <w:rPr>
          <w:rFonts w:hint="eastAsia"/>
          <w:sz w:val="30"/>
          <w:szCs w:val="30"/>
        </w:rPr>
        <w:t>提供的账户存折、现金交款单、经卢某确认从建材厂的取款支票、何敏坚确认的所挪用款项的进出账单据及凭证、何敏坚书写的承诺书、（</w:t>
      </w:r>
      <w:r>
        <w:rPr>
          <w:rFonts w:hint="eastAsia"/>
          <w:sz w:val="30"/>
          <w:szCs w:val="30"/>
        </w:rPr>
        <w:t>1997</w:t>
      </w:r>
      <w:r>
        <w:rPr>
          <w:rFonts w:hint="eastAsia"/>
          <w:sz w:val="30"/>
          <w:szCs w:val="30"/>
        </w:rPr>
        <w:t>）中法刑初字第</w:t>
      </w:r>
      <w:r>
        <w:rPr>
          <w:rFonts w:hint="eastAsia"/>
          <w:sz w:val="30"/>
          <w:szCs w:val="30"/>
        </w:rPr>
        <w:t>380</w:t>
      </w:r>
      <w:r>
        <w:rPr>
          <w:rFonts w:hint="eastAsia"/>
          <w:sz w:val="30"/>
          <w:szCs w:val="30"/>
        </w:rPr>
        <w:t>号刑事判决书及案件材料、被告人何敏坚的供述及户籍证明等证据证实，足以认定。</w:t>
      </w:r>
    </w:p>
    <w:p w14:paraId="7801F490" w14:textId="77777777" w:rsidR="00CD149C" w:rsidRDefault="00CD149C">
      <w:pPr>
        <w:spacing w:line="500" w:lineRule="atLeast"/>
        <w:ind w:firstLine="600"/>
        <w:divId w:val="448402327"/>
        <w:rPr>
          <w:rFonts w:hint="eastAsia"/>
          <w:sz w:val="30"/>
          <w:szCs w:val="30"/>
        </w:rPr>
      </w:pPr>
      <w:r>
        <w:rPr>
          <w:rFonts w:hint="eastAsia"/>
          <w:sz w:val="30"/>
          <w:szCs w:val="30"/>
        </w:rPr>
        <w:t>对控辩双方的争议焦点，本院评判如下：</w:t>
      </w:r>
    </w:p>
    <w:p w14:paraId="7E102029" w14:textId="77777777" w:rsidR="00CD149C" w:rsidRDefault="00CD149C">
      <w:pPr>
        <w:spacing w:line="500" w:lineRule="atLeast"/>
        <w:ind w:firstLine="600"/>
        <w:divId w:val="558784905"/>
        <w:rPr>
          <w:rFonts w:hint="eastAsia"/>
          <w:sz w:val="30"/>
          <w:szCs w:val="30"/>
        </w:rPr>
      </w:pPr>
      <w:r>
        <w:rPr>
          <w:rFonts w:hint="eastAsia"/>
          <w:sz w:val="30"/>
          <w:szCs w:val="30"/>
        </w:rPr>
        <w:t>1.</w:t>
      </w:r>
      <w:r>
        <w:rPr>
          <w:rFonts w:hint="eastAsia"/>
          <w:sz w:val="30"/>
          <w:szCs w:val="30"/>
        </w:rPr>
        <w:t>被告人何敏坚及辩护人提出其挪用的系储户的资金，且被害单位建设银行属于《中华人民共和国刑法》第一百八十五条第一款所规定的“商业银行”，因此对其挪用储户资金的行为应按挪用资金罪处理。</w:t>
      </w:r>
    </w:p>
    <w:p w14:paraId="4BAEBBCE" w14:textId="77777777" w:rsidR="00CD149C" w:rsidRDefault="00CD149C">
      <w:pPr>
        <w:spacing w:line="500" w:lineRule="atLeast"/>
        <w:ind w:firstLine="600"/>
        <w:divId w:val="1777751293"/>
        <w:rPr>
          <w:rFonts w:hint="eastAsia"/>
          <w:sz w:val="30"/>
          <w:szCs w:val="30"/>
        </w:rPr>
      </w:pPr>
      <w:r>
        <w:rPr>
          <w:rFonts w:hint="eastAsia"/>
          <w:sz w:val="30"/>
          <w:szCs w:val="30"/>
        </w:rPr>
        <w:t>经查，首先，根据侦办单位提取的企业法人营业执照及文件等书证显示，</w:t>
      </w:r>
      <w:r>
        <w:rPr>
          <w:rFonts w:hint="eastAsia"/>
          <w:sz w:val="30"/>
          <w:szCs w:val="30"/>
        </w:rPr>
        <w:t>1954</w:t>
      </w:r>
      <w:r>
        <w:rPr>
          <w:rFonts w:hint="eastAsia"/>
          <w:sz w:val="30"/>
          <w:szCs w:val="30"/>
        </w:rPr>
        <w:t>年至</w:t>
      </w:r>
      <w:r>
        <w:rPr>
          <w:rFonts w:hint="eastAsia"/>
          <w:sz w:val="30"/>
          <w:szCs w:val="30"/>
        </w:rPr>
        <w:t>2004</w:t>
      </w:r>
      <w:r>
        <w:rPr>
          <w:rFonts w:hint="eastAsia"/>
          <w:sz w:val="30"/>
          <w:szCs w:val="30"/>
        </w:rPr>
        <w:t>年</w:t>
      </w:r>
      <w:r>
        <w:rPr>
          <w:rFonts w:hint="eastAsia"/>
          <w:sz w:val="30"/>
          <w:szCs w:val="30"/>
        </w:rPr>
        <w:t>9</w:t>
      </w:r>
      <w:r>
        <w:rPr>
          <w:rFonts w:hint="eastAsia"/>
          <w:sz w:val="30"/>
          <w:szCs w:val="30"/>
        </w:rPr>
        <w:t>月，建设银行的企业性质为国有独资商业银行；</w:t>
      </w:r>
      <w:r>
        <w:rPr>
          <w:rFonts w:hint="eastAsia"/>
          <w:sz w:val="30"/>
          <w:szCs w:val="30"/>
        </w:rPr>
        <w:t>2004</w:t>
      </w:r>
      <w:r>
        <w:rPr>
          <w:rFonts w:hint="eastAsia"/>
          <w:sz w:val="30"/>
          <w:szCs w:val="30"/>
        </w:rPr>
        <w:t>年</w:t>
      </w:r>
      <w:r>
        <w:rPr>
          <w:rFonts w:hint="eastAsia"/>
          <w:sz w:val="30"/>
          <w:szCs w:val="30"/>
        </w:rPr>
        <w:t>9</w:t>
      </w:r>
      <w:r>
        <w:rPr>
          <w:rFonts w:hint="eastAsia"/>
          <w:sz w:val="30"/>
          <w:szCs w:val="30"/>
        </w:rPr>
        <w:t>月之后变更为国有控股商业银行。因此，建设银行在变更前后均属于《中华人民共和国刑法》第一百八十五条第二款所规定的“国有商业银行”，而非该法第一百八十五条第一款所规定的“商业银行”。其次，</w:t>
      </w:r>
      <w:r>
        <w:rPr>
          <w:rFonts w:hint="eastAsia"/>
          <w:sz w:val="30"/>
          <w:szCs w:val="30"/>
        </w:rPr>
        <w:t>1996</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日至</w:t>
      </w:r>
      <w:r>
        <w:rPr>
          <w:rFonts w:hint="eastAsia"/>
          <w:sz w:val="30"/>
          <w:szCs w:val="30"/>
        </w:rPr>
        <w:t>1996</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日被告人何敏坚任职建设银行中山分行板芙办事处副主任，</w:t>
      </w:r>
      <w:r>
        <w:rPr>
          <w:rFonts w:hint="eastAsia"/>
          <w:sz w:val="30"/>
          <w:szCs w:val="30"/>
        </w:rPr>
        <w:t>1996</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日后主持板芙办事处全面工作至</w:t>
      </w:r>
      <w:r>
        <w:rPr>
          <w:rFonts w:hint="eastAsia"/>
          <w:sz w:val="30"/>
          <w:szCs w:val="30"/>
        </w:rPr>
        <w:t>1997</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日。因此对实施本案挪用储户存款的行为具有职务上的便利；第三，关于本案被挪用的资金的属性问题，被告人何敏坚以建设银行板芙办事处的名义以高息吸引房某等储户向该行存储的人民币</w:t>
      </w:r>
      <w:r>
        <w:rPr>
          <w:rFonts w:hint="eastAsia"/>
          <w:sz w:val="30"/>
          <w:szCs w:val="30"/>
        </w:rPr>
        <w:t>584</w:t>
      </w:r>
      <w:r>
        <w:rPr>
          <w:rFonts w:hint="eastAsia"/>
          <w:sz w:val="30"/>
          <w:szCs w:val="30"/>
        </w:rPr>
        <w:t>万元，并向对方出具了盖有该行印鉴的存折、现金交款单等凭证，储户与建设银行产生相应的债权债务法律关系。虽然其中提供给林某</w:t>
      </w:r>
      <w:r>
        <w:rPr>
          <w:rFonts w:hint="eastAsia"/>
          <w:sz w:val="30"/>
          <w:szCs w:val="30"/>
        </w:rPr>
        <w:t>4</w:t>
      </w:r>
      <w:r>
        <w:rPr>
          <w:rFonts w:hint="eastAsia"/>
          <w:sz w:val="30"/>
          <w:szCs w:val="30"/>
        </w:rPr>
        <w:t>、林某</w:t>
      </w:r>
      <w:r>
        <w:rPr>
          <w:rFonts w:hint="eastAsia"/>
          <w:sz w:val="30"/>
          <w:szCs w:val="30"/>
        </w:rPr>
        <w:t>3</w:t>
      </w:r>
      <w:r>
        <w:rPr>
          <w:rFonts w:hint="eastAsia"/>
          <w:sz w:val="30"/>
          <w:szCs w:val="30"/>
        </w:rPr>
        <w:t>的人民币</w:t>
      </w:r>
      <w:r>
        <w:rPr>
          <w:rFonts w:hint="eastAsia"/>
          <w:sz w:val="30"/>
          <w:szCs w:val="30"/>
        </w:rPr>
        <w:t>56</w:t>
      </w:r>
      <w:r>
        <w:rPr>
          <w:rFonts w:hint="eastAsia"/>
          <w:sz w:val="30"/>
          <w:szCs w:val="30"/>
        </w:rPr>
        <w:t>万元系假存折，但并不影响上述法律关系的形成。因此，涉案人民币</w:t>
      </w:r>
      <w:r>
        <w:rPr>
          <w:rFonts w:hint="eastAsia"/>
          <w:sz w:val="30"/>
          <w:szCs w:val="30"/>
        </w:rPr>
        <w:t>584</w:t>
      </w:r>
      <w:r>
        <w:rPr>
          <w:rFonts w:hint="eastAsia"/>
          <w:sz w:val="30"/>
          <w:szCs w:val="30"/>
        </w:rPr>
        <w:t>万元属于《中华人民共和国刑法》第一百八十五条所规定的“客户资金”，系公款无疑。综上，被告人何敏坚挪用客户资金的行为完全符合挪用公款罪的实质及形式要件，应以该罪名定罪处罚。</w:t>
      </w:r>
    </w:p>
    <w:p w14:paraId="0967B1DE" w14:textId="77777777" w:rsidR="00CD149C" w:rsidRDefault="00CD149C">
      <w:pPr>
        <w:spacing w:line="500" w:lineRule="atLeast"/>
        <w:ind w:firstLine="600"/>
        <w:divId w:val="345837436"/>
        <w:rPr>
          <w:rFonts w:hint="eastAsia"/>
          <w:sz w:val="30"/>
          <w:szCs w:val="30"/>
        </w:rPr>
      </w:pPr>
      <w:r>
        <w:rPr>
          <w:rFonts w:hint="eastAsia"/>
          <w:sz w:val="30"/>
          <w:szCs w:val="30"/>
        </w:rPr>
        <w:t>2.</w:t>
      </w:r>
      <w:r>
        <w:rPr>
          <w:rFonts w:hint="eastAsia"/>
          <w:sz w:val="30"/>
          <w:szCs w:val="30"/>
        </w:rPr>
        <w:t>被告人何敏坚提出其收取的兰州储户人民币</w:t>
      </w:r>
      <w:r>
        <w:rPr>
          <w:rFonts w:hint="eastAsia"/>
          <w:sz w:val="30"/>
          <w:szCs w:val="30"/>
        </w:rPr>
        <w:t>500</w:t>
      </w:r>
      <w:r>
        <w:rPr>
          <w:rFonts w:hint="eastAsia"/>
          <w:sz w:val="30"/>
          <w:szCs w:val="30"/>
        </w:rPr>
        <w:t>万元后，已预先支付给对方利息人民币</w:t>
      </w:r>
      <w:r>
        <w:rPr>
          <w:rFonts w:hint="eastAsia"/>
          <w:sz w:val="30"/>
          <w:szCs w:val="30"/>
        </w:rPr>
        <w:t>100</w:t>
      </w:r>
      <w:r>
        <w:rPr>
          <w:rFonts w:hint="eastAsia"/>
          <w:sz w:val="30"/>
          <w:szCs w:val="30"/>
        </w:rPr>
        <w:t>万元，因此应在犯罪数额中扣除。经查，兰州储户房某、姬某将</w:t>
      </w:r>
      <w:r>
        <w:rPr>
          <w:rFonts w:hint="eastAsia"/>
          <w:sz w:val="30"/>
          <w:szCs w:val="30"/>
        </w:rPr>
        <w:t>500</w:t>
      </w:r>
      <w:r>
        <w:rPr>
          <w:rFonts w:hint="eastAsia"/>
          <w:sz w:val="30"/>
          <w:szCs w:val="30"/>
        </w:rPr>
        <w:t>万元存入建设银行板芙办事处，并取得相应金额的银行存折，被告人何敏坚随后指使建设银行员工违规将</w:t>
      </w:r>
      <w:r>
        <w:rPr>
          <w:rFonts w:hint="eastAsia"/>
          <w:sz w:val="30"/>
          <w:szCs w:val="30"/>
        </w:rPr>
        <w:t>500</w:t>
      </w:r>
      <w:r>
        <w:rPr>
          <w:rFonts w:hint="eastAsia"/>
          <w:sz w:val="30"/>
          <w:szCs w:val="30"/>
        </w:rPr>
        <w:t>万元转走，该</w:t>
      </w:r>
      <w:r>
        <w:rPr>
          <w:rFonts w:hint="eastAsia"/>
          <w:sz w:val="30"/>
          <w:szCs w:val="30"/>
        </w:rPr>
        <w:t>500</w:t>
      </w:r>
      <w:r>
        <w:rPr>
          <w:rFonts w:hint="eastAsia"/>
          <w:sz w:val="30"/>
          <w:szCs w:val="30"/>
        </w:rPr>
        <w:t>万元应当认定为被告人何敏坚挪用的金额。虽然被告人何敏坚为吸引对方存款而不得不向对方预先支付了</w:t>
      </w:r>
      <w:r>
        <w:rPr>
          <w:rFonts w:hint="eastAsia"/>
          <w:sz w:val="30"/>
          <w:szCs w:val="30"/>
        </w:rPr>
        <w:t>100</w:t>
      </w:r>
      <w:r>
        <w:rPr>
          <w:rFonts w:hint="eastAsia"/>
          <w:sz w:val="30"/>
          <w:szCs w:val="30"/>
        </w:rPr>
        <w:t>万元的利息，但该利息仅是其犯罪的成本。被告人何敏坚挪用的对象是建设银行的公款，其罪行的被害人是建设银行，其从建设银行实际非法转出并挪用的公款</w:t>
      </w:r>
      <w:r>
        <w:rPr>
          <w:rFonts w:hint="eastAsia"/>
          <w:sz w:val="30"/>
          <w:szCs w:val="30"/>
        </w:rPr>
        <w:t>500</w:t>
      </w:r>
      <w:r>
        <w:rPr>
          <w:rFonts w:hint="eastAsia"/>
          <w:sz w:val="30"/>
          <w:szCs w:val="30"/>
        </w:rPr>
        <w:t>万元即是其犯罪数额。至于建设银行在事后是否以该</w:t>
      </w:r>
      <w:r>
        <w:rPr>
          <w:rFonts w:hint="eastAsia"/>
          <w:sz w:val="30"/>
          <w:szCs w:val="30"/>
        </w:rPr>
        <w:t>100</w:t>
      </w:r>
      <w:r>
        <w:rPr>
          <w:rFonts w:hint="eastAsia"/>
          <w:sz w:val="30"/>
          <w:szCs w:val="30"/>
        </w:rPr>
        <w:t>万元利息主张扣减对储户所承担的还款数额，是另外层面的法律关系问题，并不影响对本案犯罪数额的认定。</w:t>
      </w:r>
    </w:p>
    <w:p w14:paraId="6A1F57EE" w14:textId="77777777" w:rsidR="00CD149C" w:rsidRDefault="00CD149C">
      <w:pPr>
        <w:spacing w:line="500" w:lineRule="atLeast"/>
        <w:ind w:firstLine="600"/>
        <w:divId w:val="415904863"/>
        <w:rPr>
          <w:rFonts w:hint="eastAsia"/>
          <w:sz w:val="30"/>
          <w:szCs w:val="30"/>
        </w:rPr>
      </w:pPr>
      <w:r>
        <w:rPr>
          <w:rFonts w:hint="eastAsia"/>
          <w:sz w:val="30"/>
          <w:szCs w:val="30"/>
        </w:rPr>
        <w:t>3.</w:t>
      </w:r>
      <w:r>
        <w:rPr>
          <w:rFonts w:hint="eastAsia"/>
          <w:sz w:val="30"/>
          <w:szCs w:val="30"/>
        </w:rPr>
        <w:t>被告人何敏坚提出指控其贪污的人民币</w:t>
      </w:r>
      <w:r>
        <w:rPr>
          <w:rFonts w:hint="eastAsia"/>
          <w:sz w:val="30"/>
          <w:szCs w:val="30"/>
        </w:rPr>
        <w:t>60</w:t>
      </w:r>
      <w:r>
        <w:rPr>
          <w:rFonts w:hint="eastAsia"/>
          <w:sz w:val="30"/>
          <w:szCs w:val="30"/>
        </w:rPr>
        <w:t>万元中，有</w:t>
      </w:r>
      <w:r>
        <w:rPr>
          <w:rFonts w:hint="eastAsia"/>
          <w:sz w:val="30"/>
          <w:szCs w:val="30"/>
        </w:rPr>
        <w:t>44</w:t>
      </w:r>
      <w:r>
        <w:rPr>
          <w:rFonts w:hint="eastAsia"/>
          <w:sz w:val="30"/>
          <w:szCs w:val="30"/>
        </w:rPr>
        <w:t>万元是其前期经营的收益即其私人财产，并非公款，不应认定为贪污。经查，首先，关于该</w:t>
      </w:r>
      <w:r>
        <w:rPr>
          <w:rFonts w:hint="eastAsia"/>
          <w:sz w:val="30"/>
          <w:szCs w:val="30"/>
        </w:rPr>
        <w:t>44</w:t>
      </w:r>
      <w:r>
        <w:rPr>
          <w:rFonts w:hint="eastAsia"/>
          <w:sz w:val="30"/>
          <w:szCs w:val="30"/>
        </w:rPr>
        <w:t>万元的来源，根据建设银行中山分行的调查材料及刘某</w:t>
      </w:r>
      <w:r>
        <w:rPr>
          <w:rFonts w:hint="eastAsia"/>
          <w:sz w:val="30"/>
          <w:szCs w:val="30"/>
        </w:rPr>
        <w:t>1</w:t>
      </w:r>
      <w:r>
        <w:rPr>
          <w:rFonts w:hint="eastAsia"/>
          <w:sz w:val="30"/>
          <w:szCs w:val="30"/>
        </w:rPr>
        <w:t>等相关证人的证言，证明是被告人何敏坚于</w:t>
      </w:r>
      <w:r>
        <w:rPr>
          <w:rFonts w:hint="eastAsia"/>
          <w:sz w:val="30"/>
          <w:szCs w:val="30"/>
        </w:rPr>
        <w:t>1997</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日指使刘某</w:t>
      </w:r>
      <w:r>
        <w:rPr>
          <w:rFonts w:hint="eastAsia"/>
          <w:sz w:val="30"/>
          <w:szCs w:val="30"/>
        </w:rPr>
        <w:t>1</w:t>
      </w:r>
      <w:r>
        <w:rPr>
          <w:rFonts w:hint="eastAsia"/>
          <w:sz w:val="30"/>
          <w:szCs w:val="30"/>
        </w:rPr>
        <w:t>从“湖州花岗岩石片建筑材料厂”账户中取现</w:t>
      </w:r>
      <w:r>
        <w:rPr>
          <w:rFonts w:hint="eastAsia"/>
          <w:sz w:val="30"/>
          <w:szCs w:val="30"/>
        </w:rPr>
        <w:t>100</w:t>
      </w:r>
      <w:r>
        <w:rPr>
          <w:rFonts w:hint="eastAsia"/>
          <w:sz w:val="30"/>
          <w:szCs w:val="30"/>
        </w:rPr>
        <w:t>万元的一部分，后分别由刘某</w:t>
      </w:r>
      <w:r>
        <w:rPr>
          <w:rFonts w:hint="eastAsia"/>
          <w:sz w:val="30"/>
          <w:szCs w:val="30"/>
        </w:rPr>
        <w:t>1</w:t>
      </w:r>
      <w:r>
        <w:rPr>
          <w:rFonts w:hint="eastAsia"/>
          <w:sz w:val="30"/>
          <w:szCs w:val="30"/>
        </w:rPr>
        <w:t>、梁某将</w:t>
      </w:r>
      <w:r>
        <w:rPr>
          <w:rFonts w:hint="eastAsia"/>
          <w:sz w:val="30"/>
          <w:szCs w:val="30"/>
        </w:rPr>
        <w:t>15</w:t>
      </w:r>
      <w:r>
        <w:rPr>
          <w:rFonts w:hint="eastAsia"/>
          <w:sz w:val="30"/>
          <w:szCs w:val="30"/>
        </w:rPr>
        <w:t>万元及</w:t>
      </w:r>
      <w:r>
        <w:rPr>
          <w:rFonts w:hint="eastAsia"/>
          <w:sz w:val="30"/>
          <w:szCs w:val="30"/>
        </w:rPr>
        <w:t>29</w:t>
      </w:r>
      <w:r>
        <w:rPr>
          <w:rFonts w:hint="eastAsia"/>
          <w:sz w:val="30"/>
          <w:szCs w:val="30"/>
        </w:rPr>
        <w:t>万元存放在板芙办的两个保险柜内。</w:t>
      </w:r>
      <w:r>
        <w:rPr>
          <w:rFonts w:hint="eastAsia"/>
          <w:sz w:val="30"/>
          <w:szCs w:val="30"/>
        </w:rPr>
        <w:t>1997</w:t>
      </w:r>
      <w:r>
        <w:rPr>
          <w:rFonts w:hint="eastAsia"/>
          <w:sz w:val="30"/>
          <w:szCs w:val="30"/>
        </w:rPr>
        <w:t>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日即潜逃的当天，何敏坚让人到板芙办找刘某</w:t>
      </w:r>
      <w:r>
        <w:rPr>
          <w:rFonts w:hint="eastAsia"/>
          <w:sz w:val="30"/>
          <w:szCs w:val="30"/>
        </w:rPr>
        <w:t>1</w:t>
      </w:r>
      <w:r>
        <w:rPr>
          <w:rFonts w:hint="eastAsia"/>
          <w:sz w:val="30"/>
          <w:szCs w:val="30"/>
        </w:rPr>
        <w:t>拿走了该</w:t>
      </w:r>
      <w:r>
        <w:rPr>
          <w:rFonts w:hint="eastAsia"/>
          <w:sz w:val="30"/>
          <w:szCs w:val="30"/>
        </w:rPr>
        <w:t>44</w:t>
      </w:r>
      <w:r>
        <w:rPr>
          <w:rFonts w:hint="eastAsia"/>
          <w:sz w:val="30"/>
          <w:szCs w:val="30"/>
        </w:rPr>
        <w:t>万元，并加提了</w:t>
      </w:r>
      <w:r>
        <w:rPr>
          <w:rFonts w:hint="eastAsia"/>
          <w:sz w:val="30"/>
          <w:szCs w:val="30"/>
        </w:rPr>
        <w:t>16</w:t>
      </w:r>
      <w:r>
        <w:rPr>
          <w:rFonts w:hint="eastAsia"/>
          <w:sz w:val="30"/>
          <w:szCs w:val="30"/>
        </w:rPr>
        <w:t>万元现金。可见该</w:t>
      </w:r>
      <w:r>
        <w:rPr>
          <w:rFonts w:hint="eastAsia"/>
          <w:sz w:val="30"/>
          <w:szCs w:val="30"/>
        </w:rPr>
        <w:t>44</w:t>
      </w:r>
      <w:r>
        <w:rPr>
          <w:rFonts w:hint="eastAsia"/>
          <w:sz w:val="30"/>
          <w:szCs w:val="30"/>
        </w:rPr>
        <w:t>万元就是来源于其挪用公款所使用的“湖州花岗岩石片建筑材料厂”账户，可以认定为其前期挪用的公款。其次，根据建设银行中山分行的调查材料、刘某</w:t>
      </w:r>
      <w:r>
        <w:rPr>
          <w:rFonts w:hint="eastAsia"/>
          <w:sz w:val="30"/>
          <w:szCs w:val="30"/>
        </w:rPr>
        <w:t>1</w:t>
      </w:r>
      <w:r>
        <w:rPr>
          <w:rFonts w:hint="eastAsia"/>
          <w:sz w:val="30"/>
          <w:szCs w:val="30"/>
        </w:rPr>
        <w:t>等相关证人的证言及银行的入账出账记录，证明</w:t>
      </w:r>
      <w:r>
        <w:rPr>
          <w:rFonts w:hint="eastAsia"/>
          <w:sz w:val="30"/>
          <w:szCs w:val="30"/>
        </w:rPr>
        <w:t>1997</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日，何敏坚指使刘某</w:t>
      </w:r>
      <w:r>
        <w:rPr>
          <w:rFonts w:hint="eastAsia"/>
          <w:sz w:val="30"/>
          <w:szCs w:val="30"/>
        </w:rPr>
        <w:t>1</w:t>
      </w:r>
      <w:r>
        <w:rPr>
          <w:rFonts w:hint="eastAsia"/>
          <w:sz w:val="30"/>
          <w:szCs w:val="30"/>
        </w:rPr>
        <w:t>违规将房某、姬某存入板芙办的</w:t>
      </w:r>
      <w:r>
        <w:rPr>
          <w:rFonts w:hint="eastAsia"/>
          <w:sz w:val="30"/>
          <w:szCs w:val="30"/>
        </w:rPr>
        <w:t>500</w:t>
      </w:r>
      <w:r>
        <w:rPr>
          <w:rFonts w:hint="eastAsia"/>
          <w:sz w:val="30"/>
          <w:szCs w:val="30"/>
        </w:rPr>
        <w:t>万元转入了“湖州花岗岩石片建筑材料厂”账户。第三，从该</w:t>
      </w:r>
      <w:r>
        <w:rPr>
          <w:rFonts w:hint="eastAsia"/>
          <w:sz w:val="30"/>
          <w:szCs w:val="30"/>
        </w:rPr>
        <w:t>44</w:t>
      </w:r>
      <w:r>
        <w:rPr>
          <w:rFonts w:hint="eastAsia"/>
          <w:sz w:val="30"/>
          <w:szCs w:val="30"/>
        </w:rPr>
        <w:t>万元存在板芙办的保险柜内，且由该办的员工保管钥匙的事实上看，被告人何敏坚辩称系其个人的钱款，其只是“占公家的小便宜”使用公家保险柜存放私款的辩解也与常理不符。综上，该部分款项应当认定为公款，被告人何敏坚携带挪用的公款潜逃，其</w:t>
      </w:r>
      <w:r>
        <w:rPr>
          <w:rFonts w:hint="eastAsia"/>
          <w:sz w:val="30"/>
          <w:szCs w:val="30"/>
        </w:rPr>
        <w:t>行为构成贪污罪，该点辩护意见本院不予采纳。</w:t>
      </w:r>
    </w:p>
    <w:p w14:paraId="4F7D2DD6" w14:textId="77777777" w:rsidR="00CD149C" w:rsidRDefault="00CD149C">
      <w:pPr>
        <w:spacing w:line="500" w:lineRule="atLeast"/>
        <w:ind w:firstLine="600"/>
        <w:divId w:val="762839061"/>
        <w:rPr>
          <w:rFonts w:hint="eastAsia"/>
          <w:sz w:val="30"/>
          <w:szCs w:val="30"/>
        </w:rPr>
      </w:pPr>
      <w:r>
        <w:rPr>
          <w:rFonts w:hint="eastAsia"/>
          <w:sz w:val="30"/>
          <w:szCs w:val="30"/>
        </w:rPr>
        <w:t>本院认为，被告人何敏坚无视国家法律，身为国家工作人员，利用职务上的便利，挪用公款归个人使用，数额巨大不退还；还以携带挪用的部分公款潜逃的方式非法占有公共财物，数额巨大，其行为已分别构成挪用公款罪、贪污罪，均应依法惩处。被告人何敏坚在判决宣告以前犯挪用公款罪、贪污罪，依法应当数罪并罚。被告人何敏坚有坦白情节，依法可以从轻处罚。公诉机关指控被告人何敏坚犯挪用公款罪、贪污罪的事实清楚，证据确实、充分，罪名成立，本院予以支持。被告人何敏坚所提辩护意见属于对行为性质的辩解，依法不影响其坦白情节的认定。依照《中华人民共和国刑法》第三百八十四条第一款、第三百八十二条第一款、第三百八十三条第一款第（二）项、第一百八十五条第二款、第六十七条第三款、第六十九条、第六十四条及《最高人民法院关于审理挪用公款案件具体应用法律若干问题的解释》第一条、第五条、《最高人民法院、最高人民检察院关于办理贪污贿赂刑事案件适用法律若干问题的解释》第二条第一款、第五条、第十九条第一款之规定，判决如下：</w:t>
      </w:r>
    </w:p>
    <w:p w14:paraId="1054458F" w14:textId="77777777" w:rsidR="00CD149C" w:rsidRDefault="00CD149C">
      <w:pPr>
        <w:spacing w:line="500" w:lineRule="atLeast"/>
        <w:ind w:firstLine="600"/>
        <w:divId w:val="692193187"/>
        <w:rPr>
          <w:rFonts w:hint="eastAsia"/>
          <w:sz w:val="30"/>
          <w:szCs w:val="30"/>
        </w:rPr>
      </w:pPr>
      <w:r>
        <w:rPr>
          <w:rFonts w:hint="eastAsia"/>
          <w:sz w:val="30"/>
          <w:szCs w:val="30"/>
        </w:rPr>
        <w:t>一、被告人何敏坚犯挪用公款罪，判处有期徒刑十年；犯贪污罪，判处有期徒刑四年，并处罚金人民币六十万元，总和刑期有期徒刑十四年，并处罚金人民币六十万元。决定执行有期徒刑十三年，并处罚金人民币六十万元。</w:t>
      </w:r>
    </w:p>
    <w:p w14:paraId="0BFD381F" w14:textId="77777777" w:rsidR="00CD149C" w:rsidRDefault="00CD149C">
      <w:pPr>
        <w:spacing w:line="500" w:lineRule="atLeast"/>
        <w:ind w:firstLine="600"/>
        <w:divId w:val="29341118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日起至</w:t>
      </w:r>
      <w:r>
        <w:rPr>
          <w:rFonts w:hint="eastAsia"/>
          <w:sz w:val="30"/>
          <w:szCs w:val="30"/>
        </w:rPr>
        <w:t>2030</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日止。罚金在判决生效后三十日内向本院一次缴纳。期满不缴纳的，强制缴纳。）</w:t>
      </w:r>
    </w:p>
    <w:p w14:paraId="0C5EC772" w14:textId="77777777" w:rsidR="00CD149C" w:rsidRDefault="00CD149C">
      <w:pPr>
        <w:spacing w:line="500" w:lineRule="atLeast"/>
        <w:ind w:firstLine="600"/>
        <w:divId w:val="1270743201"/>
        <w:rPr>
          <w:rFonts w:hint="eastAsia"/>
          <w:sz w:val="30"/>
          <w:szCs w:val="30"/>
        </w:rPr>
      </w:pPr>
      <w:r>
        <w:rPr>
          <w:rFonts w:hint="eastAsia"/>
          <w:sz w:val="30"/>
          <w:szCs w:val="30"/>
        </w:rPr>
        <w:t>二、责令被告人何敏坚向中国建设银行中山市分行退赔赃款人民币</w:t>
      </w:r>
      <w:r>
        <w:rPr>
          <w:rFonts w:hint="eastAsia"/>
          <w:sz w:val="30"/>
          <w:szCs w:val="30"/>
        </w:rPr>
        <w:t>584</w:t>
      </w:r>
      <w:r>
        <w:rPr>
          <w:rFonts w:hint="eastAsia"/>
          <w:sz w:val="30"/>
          <w:szCs w:val="30"/>
        </w:rPr>
        <w:t>万元。</w:t>
      </w:r>
    </w:p>
    <w:p w14:paraId="2B160D26" w14:textId="77777777" w:rsidR="00CD149C" w:rsidRDefault="00CD149C">
      <w:pPr>
        <w:spacing w:line="500" w:lineRule="atLeast"/>
        <w:ind w:firstLine="600"/>
        <w:divId w:val="952785939"/>
        <w:rPr>
          <w:rFonts w:hint="eastAsia"/>
          <w:sz w:val="30"/>
          <w:szCs w:val="30"/>
        </w:rPr>
      </w:pPr>
      <w:r>
        <w:rPr>
          <w:rFonts w:hint="eastAsia"/>
          <w:sz w:val="30"/>
          <w:szCs w:val="30"/>
        </w:rPr>
        <w:t>如不服本判决，可在接到判决书的第二日起十日内，通过本院或者直接向广东省中山市中级人民法院提出上诉。书面上诉的，应当提交上诉状正本一份，副本二份。</w:t>
      </w:r>
    </w:p>
    <w:p w14:paraId="08032F25" w14:textId="77777777" w:rsidR="00CD149C" w:rsidRDefault="00CD149C">
      <w:pPr>
        <w:spacing w:line="500" w:lineRule="atLeast"/>
        <w:jc w:val="right"/>
        <w:divId w:val="1921908741"/>
        <w:rPr>
          <w:rFonts w:hint="eastAsia"/>
          <w:sz w:val="30"/>
          <w:szCs w:val="30"/>
        </w:rPr>
      </w:pPr>
      <w:r>
        <w:rPr>
          <w:rFonts w:hint="eastAsia"/>
          <w:sz w:val="30"/>
          <w:szCs w:val="30"/>
        </w:rPr>
        <w:t>审　判　长　　梁　钢</w:t>
      </w:r>
    </w:p>
    <w:p w14:paraId="7D3444BA" w14:textId="77777777" w:rsidR="00CD149C" w:rsidRDefault="00CD149C">
      <w:pPr>
        <w:spacing w:line="500" w:lineRule="atLeast"/>
        <w:jc w:val="right"/>
        <w:divId w:val="952636212"/>
        <w:rPr>
          <w:rFonts w:hint="eastAsia"/>
          <w:sz w:val="30"/>
          <w:szCs w:val="30"/>
        </w:rPr>
      </w:pPr>
      <w:r>
        <w:rPr>
          <w:rFonts w:hint="eastAsia"/>
          <w:sz w:val="30"/>
          <w:szCs w:val="30"/>
        </w:rPr>
        <w:t>审　判　员　　施斌斌</w:t>
      </w:r>
    </w:p>
    <w:p w14:paraId="593D8CCE" w14:textId="77777777" w:rsidR="00CD149C" w:rsidRDefault="00CD149C">
      <w:pPr>
        <w:spacing w:line="500" w:lineRule="atLeast"/>
        <w:jc w:val="right"/>
        <w:divId w:val="886070777"/>
        <w:rPr>
          <w:rFonts w:hint="eastAsia"/>
          <w:sz w:val="30"/>
          <w:szCs w:val="30"/>
        </w:rPr>
      </w:pPr>
      <w:r>
        <w:rPr>
          <w:rFonts w:hint="eastAsia"/>
          <w:sz w:val="30"/>
          <w:szCs w:val="30"/>
        </w:rPr>
        <w:t>人民陪审员　　张泳妍</w:t>
      </w:r>
    </w:p>
    <w:p w14:paraId="294F90C8" w14:textId="77777777" w:rsidR="00CD149C" w:rsidRDefault="00CD149C">
      <w:pPr>
        <w:spacing w:line="500" w:lineRule="atLeast"/>
        <w:jc w:val="right"/>
        <w:divId w:val="816723749"/>
        <w:rPr>
          <w:rFonts w:hint="eastAsia"/>
          <w:sz w:val="30"/>
          <w:szCs w:val="30"/>
        </w:rPr>
      </w:pPr>
      <w:r>
        <w:rPr>
          <w:rFonts w:hint="eastAsia"/>
          <w:sz w:val="30"/>
          <w:szCs w:val="30"/>
        </w:rPr>
        <w:t>二〇一八年一月五日</w:t>
      </w:r>
    </w:p>
    <w:p w14:paraId="6C72093E" w14:textId="77777777" w:rsidR="00CD149C" w:rsidRDefault="00CD149C">
      <w:pPr>
        <w:spacing w:line="500" w:lineRule="atLeast"/>
        <w:ind w:firstLine="600"/>
        <w:divId w:val="461382596"/>
        <w:rPr>
          <w:rFonts w:hint="eastAsia"/>
          <w:sz w:val="30"/>
          <w:szCs w:val="30"/>
        </w:rPr>
      </w:pPr>
      <w:r>
        <w:rPr>
          <w:rFonts w:hint="eastAsia"/>
          <w:sz w:val="30"/>
          <w:szCs w:val="30"/>
        </w:rPr>
        <w:t>法官助理李保法</w:t>
      </w:r>
    </w:p>
    <w:p w14:paraId="6DD97F64" w14:textId="77777777" w:rsidR="00CD149C" w:rsidRDefault="00CD149C">
      <w:pPr>
        <w:spacing w:line="500" w:lineRule="atLeast"/>
        <w:ind w:firstLine="600"/>
        <w:divId w:val="446705508"/>
        <w:rPr>
          <w:rFonts w:hint="eastAsia"/>
          <w:sz w:val="30"/>
          <w:szCs w:val="30"/>
        </w:rPr>
      </w:pPr>
      <w:r>
        <w:rPr>
          <w:rFonts w:hint="eastAsia"/>
          <w:sz w:val="30"/>
          <w:szCs w:val="30"/>
        </w:rPr>
        <w:t>书记员冯冰冰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D6AA04" w14:textId="77777777" w:rsidR="00CD149C" w:rsidRDefault="00CD149C" w:rsidP="00CD149C">
      <w:pPr>
        <w:rPr>
          <w:rFonts w:hint="eastAsia"/>
        </w:rPr>
      </w:pPr>
      <w:r>
        <w:separator/>
      </w:r>
    </w:p>
  </w:endnote>
  <w:endnote w:type="continuationSeparator" w:id="0">
    <w:p w14:paraId="19D5D58E" w14:textId="77777777" w:rsidR="00CD149C" w:rsidRDefault="00CD149C" w:rsidP="00CD149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956BB2" w14:textId="77777777" w:rsidR="00CD149C" w:rsidRDefault="00CD149C" w:rsidP="00CD149C">
      <w:pPr>
        <w:rPr>
          <w:rFonts w:hint="eastAsia"/>
        </w:rPr>
      </w:pPr>
      <w:r>
        <w:separator/>
      </w:r>
    </w:p>
  </w:footnote>
  <w:footnote w:type="continuationSeparator" w:id="0">
    <w:p w14:paraId="68A1CF33" w14:textId="77777777" w:rsidR="00CD149C" w:rsidRDefault="00CD149C" w:rsidP="00CD149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D149C"/>
    <w:rsid w:val="002A784C"/>
    <w:rsid w:val="00CD14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99A1DD"/>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D149C"/>
    <w:pPr>
      <w:tabs>
        <w:tab w:val="center" w:pos="4153"/>
        <w:tab w:val="right" w:pos="8306"/>
      </w:tabs>
      <w:snapToGrid w:val="0"/>
      <w:jc w:val="center"/>
    </w:pPr>
    <w:rPr>
      <w:sz w:val="18"/>
      <w:szCs w:val="18"/>
    </w:rPr>
  </w:style>
  <w:style w:type="character" w:customStyle="1" w:styleId="a4">
    <w:name w:val="页眉 字符"/>
    <w:basedOn w:val="a0"/>
    <w:link w:val="a3"/>
    <w:uiPriority w:val="99"/>
    <w:rsid w:val="00CD149C"/>
    <w:rPr>
      <w:rFonts w:ascii="宋体" w:eastAsia="宋体" w:hAnsi="宋体" w:cs="宋体"/>
      <w:sz w:val="18"/>
      <w:szCs w:val="18"/>
    </w:rPr>
  </w:style>
  <w:style w:type="paragraph" w:styleId="a5">
    <w:name w:val="footer"/>
    <w:basedOn w:val="a"/>
    <w:link w:val="a6"/>
    <w:uiPriority w:val="99"/>
    <w:unhideWhenUsed/>
    <w:rsid w:val="00CD149C"/>
    <w:pPr>
      <w:tabs>
        <w:tab w:val="center" w:pos="4153"/>
        <w:tab w:val="right" w:pos="8306"/>
      </w:tabs>
      <w:snapToGrid w:val="0"/>
    </w:pPr>
    <w:rPr>
      <w:sz w:val="18"/>
      <w:szCs w:val="18"/>
    </w:rPr>
  </w:style>
  <w:style w:type="character" w:customStyle="1" w:styleId="a6">
    <w:name w:val="页脚 字符"/>
    <w:basedOn w:val="a0"/>
    <w:link w:val="a5"/>
    <w:uiPriority w:val="99"/>
    <w:rsid w:val="00CD149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722511">
      <w:marLeft w:val="0"/>
      <w:marRight w:val="0"/>
      <w:marTop w:val="10"/>
      <w:marBottom w:val="10"/>
      <w:divBdr>
        <w:top w:val="none" w:sz="0" w:space="0" w:color="auto"/>
        <w:left w:val="none" w:sz="0" w:space="0" w:color="auto"/>
        <w:bottom w:val="none" w:sz="0" w:space="0" w:color="auto"/>
        <w:right w:val="none" w:sz="0" w:space="0" w:color="auto"/>
      </w:divBdr>
    </w:div>
    <w:div w:id="283583216">
      <w:marLeft w:val="0"/>
      <w:marRight w:val="0"/>
      <w:marTop w:val="10"/>
      <w:marBottom w:val="10"/>
      <w:divBdr>
        <w:top w:val="none" w:sz="0" w:space="0" w:color="auto"/>
        <w:left w:val="none" w:sz="0" w:space="0" w:color="auto"/>
        <w:bottom w:val="none" w:sz="0" w:space="0" w:color="auto"/>
        <w:right w:val="none" w:sz="0" w:space="0" w:color="auto"/>
      </w:divBdr>
    </w:div>
    <w:div w:id="293411183">
      <w:marLeft w:val="0"/>
      <w:marRight w:val="0"/>
      <w:marTop w:val="10"/>
      <w:marBottom w:val="10"/>
      <w:divBdr>
        <w:top w:val="none" w:sz="0" w:space="0" w:color="auto"/>
        <w:left w:val="none" w:sz="0" w:space="0" w:color="auto"/>
        <w:bottom w:val="none" w:sz="0" w:space="0" w:color="auto"/>
        <w:right w:val="none" w:sz="0" w:space="0" w:color="auto"/>
      </w:divBdr>
    </w:div>
    <w:div w:id="345837436">
      <w:marLeft w:val="0"/>
      <w:marRight w:val="0"/>
      <w:marTop w:val="10"/>
      <w:marBottom w:val="10"/>
      <w:divBdr>
        <w:top w:val="none" w:sz="0" w:space="0" w:color="auto"/>
        <w:left w:val="none" w:sz="0" w:space="0" w:color="auto"/>
        <w:bottom w:val="none" w:sz="0" w:space="0" w:color="auto"/>
        <w:right w:val="none" w:sz="0" w:space="0" w:color="auto"/>
      </w:divBdr>
    </w:div>
    <w:div w:id="415904863">
      <w:marLeft w:val="0"/>
      <w:marRight w:val="0"/>
      <w:marTop w:val="10"/>
      <w:marBottom w:val="10"/>
      <w:divBdr>
        <w:top w:val="none" w:sz="0" w:space="0" w:color="auto"/>
        <w:left w:val="none" w:sz="0" w:space="0" w:color="auto"/>
        <w:bottom w:val="none" w:sz="0" w:space="0" w:color="auto"/>
        <w:right w:val="none" w:sz="0" w:space="0" w:color="auto"/>
      </w:divBdr>
    </w:div>
    <w:div w:id="446705508">
      <w:marLeft w:val="0"/>
      <w:marRight w:val="0"/>
      <w:marTop w:val="10"/>
      <w:marBottom w:val="10"/>
      <w:divBdr>
        <w:top w:val="none" w:sz="0" w:space="0" w:color="auto"/>
        <w:left w:val="none" w:sz="0" w:space="0" w:color="auto"/>
        <w:bottom w:val="none" w:sz="0" w:space="0" w:color="auto"/>
        <w:right w:val="none" w:sz="0" w:space="0" w:color="auto"/>
      </w:divBdr>
    </w:div>
    <w:div w:id="448402327">
      <w:marLeft w:val="0"/>
      <w:marRight w:val="0"/>
      <w:marTop w:val="10"/>
      <w:marBottom w:val="10"/>
      <w:divBdr>
        <w:top w:val="none" w:sz="0" w:space="0" w:color="auto"/>
        <w:left w:val="none" w:sz="0" w:space="0" w:color="auto"/>
        <w:bottom w:val="none" w:sz="0" w:space="0" w:color="auto"/>
        <w:right w:val="none" w:sz="0" w:space="0" w:color="auto"/>
      </w:divBdr>
    </w:div>
    <w:div w:id="461382596">
      <w:marLeft w:val="0"/>
      <w:marRight w:val="0"/>
      <w:marTop w:val="10"/>
      <w:marBottom w:val="10"/>
      <w:divBdr>
        <w:top w:val="none" w:sz="0" w:space="0" w:color="auto"/>
        <w:left w:val="none" w:sz="0" w:space="0" w:color="auto"/>
        <w:bottom w:val="none" w:sz="0" w:space="0" w:color="auto"/>
        <w:right w:val="none" w:sz="0" w:space="0" w:color="auto"/>
      </w:divBdr>
    </w:div>
    <w:div w:id="558784905">
      <w:marLeft w:val="0"/>
      <w:marRight w:val="0"/>
      <w:marTop w:val="10"/>
      <w:marBottom w:val="10"/>
      <w:divBdr>
        <w:top w:val="none" w:sz="0" w:space="0" w:color="auto"/>
        <w:left w:val="none" w:sz="0" w:space="0" w:color="auto"/>
        <w:bottom w:val="none" w:sz="0" w:space="0" w:color="auto"/>
        <w:right w:val="none" w:sz="0" w:space="0" w:color="auto"/>
      </w:divBdr>
    </w:div>
    <w:div w:id="596908185">
      <w:marLeft w:val="0"/>
      <w:marRight w:val="0"/>
      <w:marTop w:val="10"/>
      <w:marBottom w:val="10"/>
      <w:divBdr>
        <w:top w:val="none" w:sz="0" w:space="0" w:color="auto"/>
        <w:left w:val="none" w:sz="0" w:space="0" w:color="auto"/>
        <w:bottom w:val="none" w:sz="0" w:space="0" w:color="auto"/>
        <w:right w:val="none" w:sz="0" w:space="0" w:color="auto"/>
      </w:divBdr>
    </w:div>
    <w:div w:id="692193187">
      <w:marLeft w:val="0"/>
      <w:marRight w:val="0"/>
      <w:marTop w:val="10"/>
      <w:marBottom w:val="10"/>
      <w:divBdr>
        <w:top w:val="none" w:sz="0" w:space="0" w:color="auto"/>
        <w:left w:val="none" w:sz="0" w:space="0" w:color="auto"/>
        <w:bottom w:val="none" w:sz="0" w:space="0" w:color="auto"/>
        <w:right w:val="none" w:sz="0" w:space="0" w:color="auto"/>
      </w:divBdr>
    </w:div>
    <w:div w:id="722797648">
      <w:marLeft w:val="0"/>
      <w:marRight w:val="0"/>
      <w:marTop w:val="10"/>
      <w:marBottom w:val="10"/>
      <w:divBdr>
        <w:top w:val="none" w:sz="0" w:space="0" w:color="auto"/>
        <w:left w:val="none" w:sz="0" w:space="0" w:color="auto"/>
        <w:bottom w:val="none" w:sz="0" w:space="0" w:color="auto"/>
        <w:right w:val="none" w:sz="0" w:space="0" w:color="auto"/>
      </w:divBdr>
    </w:div>
    <w:div w:id="752506583">
      <w:marLeft w:val="0"/>
      <w:marRight w:val="0"/>
      <w:marTop w:val="10"/>
      <w:marBottom w:val="10"/>
      <w:divBdr>
        <w:top w:val="none" w:sz="0" w:space="0" w:color="auto"/>
        <w:left w:val="none" w:sz="0" w:space="0" w:color="auto"/>
        <w:bottom w:val="none" w:sz="0" w:space="0" w:color="auto"/>
        <w:right w:val="none" w:sz="0" w:space="0" w:color="auto"/>
      </w:divBdr>
    </w:div>
    <w:div w:id="762839061">
      <w:marLeft w:val="0"/>
      <w:marRight w:val="0"/>
      <w:marTop w:val="10"/>
      <w:marBottom w:val="10"/>
      <w:divBdr>
        <w:top w:val="none" w:sz="0" w:space="0" w:color="auto"/>
        <w:left w:val="none" w:sz="0" w:space="0" w:color="auto"/>
        <w:bottom w:val="none" w:sz="0" w:space="0" w:color="auto"/>
        <w:right w:val="none" w:sz="0" w:space="0" w:color="auto"/>
      </w:divBdr>
    </w:div>
    <w:div w:id="816723749">
      <w:marLeft w:val="0"/>
      <w:marRight w:val="720"/>
      <w:marTop w:val="10"/>
      <w:marBottom w:val="10"/>
      <w:divBdr>
        <w:top w:val="none" w:sz="0" w:space="0" w:color="auto"/>
        <w:left w:val="none" w:sz="0" w:space="0" w:color="auto"/>
        <w:bottom w:val="none" w:sz="0" w:space="0" w:color="auto"/>
        <w:right w:val="none" w:sz="0" w:space="0" w:color="auto"/>
      </w:divBdr>
    </w:div>
    <w:div w:id="886070777">
      <w:marLeft w:val="0"/>
      <w:marRight w:val="720"/>
      <w:marTop w:val="10"/>
      <w:marBottom w:val="10"/>
      <w:divBdr>
        <w:top w:val="none" w:sz="0" w:space="0" w:color="auto"/>
        <w:left w:val="none" w:sz="0" w:space="0" w:color="auto"/>
        <w:bottom w:val="none" w:sz="0" w:space="0" w:color="auto"/>
        <w:right w:val="none" w:sz="0" w:space="0" w:color="auto"/>
      </w:divBdr>
    </w:div>
    <w:div w:id="952636212">
      <w:marLeft w:val="0"/>
      <w:marRight w:val="720"/>
      <w:marTop w:val="10"/>
      <w:marBottom w:val="10"/>
      <w:divBdr>
        <w:top w:val="none" w:sz="0" w:space="0" w:color="auto"/>
        <w:left w:val="none" w:sz="0" w:space="0" w:color="auto"/>
        <w:bottom w:val="none" w:sz="0" w:space="0" w:color="auto"/>
        <w:right w:val="none" w:sz="0" w:space="0" w:color="auto"/>
      </w:divBdr>
    </w:div>
    <w:div w:id="952785939">
      <w:marLeft w:val="0"/>
      <w:marRight w:val="0"/>
      <w:marTop w:val="10"/>
      <w:marBottom w:val="10"/>
      <w:divBdr>
        <w:top w:val="none" w:sz="0" w:space="0" w:color="auto"/>
        <w:left w:val="none" w:sz="0" w:space="0" w:color="auto"/>
        <w:bottom w:val="none" w:sz="0" w:space="0" w:color="auto"/>
        <w:right w:val="none" w:sz="0" w:space="0" w:color="auto"/>
      </w:divBdr>
    </w:div>
    <w:div w:id="976566260">
      <w:marLeft w:val="0"/>
      <w:marRight w:val="0"/>
      <w:marTop w:val="10"/>
      <w:marBottom w:val="10"/>
      <w:divBdr>
        <w:top w:val="none" w:sz="0" w:space="0" w:color="auto"/>
        <w:left w:val="none" w:sz="0" w:space="0" w:color="auto"/>
        <w:bottom w:val="none" w:sz="0" w:space="0" w:color="auto"/>
        <w:right w:val="none" w:sz="0" w:space="0" w:color="auto"/>
      </w:divBdr>
    </w:div>
    <w:div w:id="1066609088">
      <w:marLeft w:val="0"/>
      <w:marRight w:val="0"/>
      <w:marTop w:val="10"/>
      <w:marBottom w:val="10"/>
      <w:divBdr>
        <w:top w:val="none" w:sz="0" w:space="0" w:color="auto"/>
        <w:left w:val="none" w:sz="0" w:space="0" w:color="auto"/>
        <w:bottom w:val="none" w:sz="0" w:space="0" w:color="auto"/>
        <w:right w:val="none" w:sz="0" w:space="0" w:color="auto"/>
      </w:divBdr>
    </w:div>
    <w:div w:id="1207452972">
      <w:marLeft w:val="0"/>
      <w:marRight w:val="0"/>
      <w:marTop w:val="10"/>
      <w:marBottom w:val="10"/>
      <w:divBdr>
        <w:top w:val="none" w:sz="0" w:space="0" w:color="auto"/>
        <w:left w:val="none" w:sz="0" w:space="0" w:color="auto"/>
        <w:bottom w:val="none" w:sz="0" w:space="0" w:color="auto"/>
        <w:right w:val="none" w:sz="0" w:space="0" w:color="auto"/>
      </w:divBdr>
    </w:div>
    <w:div w:id="1270743201">
      <w:marLeft w:val="0"/>
      <w:marRight w:val="0"/>
      <w:marTop w:val="10"/>
      <w:marBottom w:val="10"/>
      <w:divBdr>
        <w:top w:val="none" w:sz="0" w:space="0" w:color="auto"/>
        <w:left w:val="none" w:sz="0" w:space="0" w:color="auto"/>
        <w:bottom w:val="none" w:sz="0" w:space="0" w:color="auto"/>
        <w:right w:val="none" w:sz="0" w:space="0" w:color="auto"/>
      </w:divBdr>
    </w:div>
    <w:div w:id="1660957466">
      <w:marLeft w:val="0"/>
      <w:marRight w:val="0"/>
      <w:marTop w:val="10"/>
      <w:marBottom w:val="10"/>
      <w:divBdr>
        <w:top w:val="none" w:sz="0" w:space="0" w:color="auto"/>
        <w:left w:val="none" w:sz="0" w:space="0" w:color="auto"/>
        <w:bottom w:val="none" w:sz="0" w:space="0" w:color="auto"/>
        <w:right w:val="none" w:sz="0" w:space="0" w:color="auto"/>
      </w:divBdr>
    </w:div>
    <w:div w:id="1777751293">
      <w:marLeft w:val="0"/>
      <w:marRight w:val="0"/>
      <w:marTop w:val="10"/>
      <w:marBottom w:val="10"/>
      <w:divBdr>
        <w:top w:val="none" w:sz="0" w:space="0" w:color="auto"/>
        <w:left w:val="none" w:sz="0" w:space="0" w:color="auto"/>
        <w:bottom w:val="none" w:sz="0" w:space="0" w:color="auto"/>
        <w:right w:val="none" w:sz="0" w:space="0" w:color="auto"/>
      </w:divBdr>
    </w:div>
    <w:div w:id="1921908741">
      <w:marLeft w:val="0"/>
      <w:marRight w:val="720"/>
      <w:marTop w:val="10"/>
      <w:marBottom w:val="10"/>
      <w:divBdr>
        <w:top w:val="none" w:sz="0" w:space="0" w:color="auto"/>
        <w:left w:val="none" w:sz="0" w:space="0" w:color="auto"/>
        <w:bottom w:val="none" w:sz="0" w:space="0" w:color="auto"/>
        <w:right w:val="none" w:sz="0" w:space="0" w:color="auto"/>
      </w:divBdr>
    </w:div>
    <w:div w:id="201919315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498</Words>
  <Characters>2839</Characters>
  <Application>Microsoft Office Word</Application>
  <DocSecurity>0</DocSecurity>
  <Lines>23</Lines>
  <Paragraphs>6</Paragraphs>
  <ScaleCrop>false</ScaleCrop>
  <Company/>
  <LinksUpToDate>false</LinksUpToDate>
  <CharactersWithSpaces>3331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2025-04-30T03:16:00Z</dcterms:created>
  <dcterms:modified xsi:type="dcterms:W3CDTF">2025-04-30T03:16:00Z</dcterms:modified>
</cp:coreProperties>
</file>