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7D1B" w14:textId="77777777" w:rsidR="002331E2" w:rsidRDefault="002331E2">
      <w:pPr>
        <w:spacing w:line="500" w:lineRule="atLeast"/>
        <w:jc w:val="center"/>
        <w:divId w:val="1497502377"/>
        <w:rPr>
          <w:rFonts w:ascii="黑体" w:eastAsia="黑体" w:hAnsi="黑体"/>
          <w:sz w:val="36"/>
          <w:szCs w:val="36"/>
        </w:rPr>
      </w:pPr>
      <w:r>
        <w:rPr>
          <w:rFonts w:ascii="黑体" w:eastAsia="黑体" w:hAnsi="黑体" w:hint="eastAsia"/>
          <w:sz w:val="36"/>
          <w:szCs w:val="36"/>
        </w:rPr>
        <w:t>广东省佛山市三水区人民法院</w:t>
      </w:r>
    </w:p>
    <w:p w14:paraId="027E570B" w14:textId="77777777" w:rsidR="002331E2" w:rsidRDefault="002331E2">
      <w:pPr>
        <w:spacing w:line="500" w:lineRule="atLeast"/>
        <w:jc w:val="center"/>
        <w:divId w:val="17293767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DF97E" w14:textId="77777777" w:rsidR="002331E2" w:rsidRDefault="002331E2">
      <w:pPr>
        <w:spacing w:line="500" w:lineRule="atLeast"/>
        <w:jc w:val="right"/>
        <w:divId w:val="388276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313</w:t>
      </w:r>
      <w:r>
        <w:rPr>
          <w:rFonts w:hint="eastAsia"/>
          <w:sz w:val="30"/>
          <w:szCs w:val="30"/>
        </w:rPr>
        <w:t>号</w:t>
      </w:r>
    </w:p>
    <w:p w14:paraId="35B92EF8" w14:textId="77777777" w:rsidR="002331E2" w:rsidRDefault="002331E2">
      <w:pPr>
        <w:spacing w:line="500" w:lineRule="atLeast"/>
        <w:ind w:firstLine="600"/>
        <w:divId w:val="2137091453"/>
        <w:rPr>
          <w:rFonts w:hint="eastAsia"/>
          <w:sz w:val="30"/>
          <w:szCs w:val="30"/>
        </w:rPr>
      </w:pPr>
      <w:r>
        <w:rPr>
          <w:rFonts w:hint="eastAsia"/>
          <w:sz w:val="30"/>
          <w:szCs w:val="30"/>
        </w:rPr>
        <w:t>公诉机关佛山市三水区人民检察院。</w:t>
      </w:r>
    </w:p>
    <w:p w14:paraId="1C4BA28F" w14:textId="77777777" w:rsidR="002331E2" w:rsidRDefault="002331E2">
      <w:pPr>
        <w:spacing w:line="500" w:lineRule="atLeast"/>
        <w:ind w:firstLine="600"/>
        <w:divId w:val="159926385"/>
        <w:rPr>
          <w:rFonts w:hint="eastAsia"/>
          <w:sz w:val="30"/>
          <w:szCs w:val="30"/>
        </w:rPr>
      </w:pPr>
      <w:r>
        <w:rPr>
          <w:rFonts w:hint="eastAsia"/>
          <w:sz w:val="30"/>
          <w:szCs w:val="30"/>
        </w:rPr>
        <w:t>被告人何正华，男，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日出生于江西省宜春市高安县，汉族，大专文化，在业，住佛山市三水区，现住佛山市三水区。因本案于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日被佛山市禅城区人民检察院取保候审，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日被佛山市三水区人民检察院取保候审，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p>
    <w:p w14:paraId="1CA7FFD9" w14:textId="77777777" w:rsidR="002331E2" w:rsidRDefault="002331E2">
      <w:pPr>
        <w:spacing w:line="500" w:lineRule="atLeast"/>
        <w:ind w:firstLine="600"/>
        <w:divId w:val="683634848"/>
        <w:rPr>
          <w:rFonts w:hint="eastAsia"/>
          <w:sz w:val="30"/>
          <w:szCs w:val="30"/>
        </w:rPr>
      </w:pPr>
      <w:r>
        <w:rPr>
          <w:rFonts w:hint="eastAsia"/>
          <w:sz w:val="30"/>
          <w:szCs w:val="30"/>
        </w:rPr>
        <w:t>辩护人张栩，广东百浩律师事务所律师。</w:t>
      </w:r>
    </w:p>
    <w:p w14:paraId="740EEEA3" w14:textId="77777777" w:rsidR="002331E2" w:rsidRDefault="002331E2">
      <w:pPr>
        <w:spacing w:line="500" w:lineRule="atLeast"/>
        <w:ind w:firstLine="600"/>
        <w:divId w:val="1269045727"/>
        <w:rPr>
          <w:rFonts w:hint="eastAsia"/>
          <w:sz w:val="30"/>
          <w:szCs w:val="30"/>
        </w:rPr>
      </w:pPr>
      <w:r>
        <w:rPr>
          <w:rFonts w:hint="eastAsia"/>
          <w:sz w:val="30"/>
          <w:szCs w:val="30"/>
        </w:rPr>
        <w:t>佛山市三水区人民检察院以佛三检刑诉</w:t>
      </w:r>
      <w:r>
        <w:rPr>
          <w:rFonts w:hint="eastAsia"/>
          <w:sz w:val="30"/>
          <w:szCs w:val="30"/>
        </w:rPr>
        <w:t>[2017]222</w:t>
      </w:r>
      <w:r>
        <w:rPr>
          <w:rFonts w:hint="eastAsia"/>
          <w:sz w:val="30"/>
          <w:szCs w:val="30"/>
        </w:rPr>
        <w:t>号起诉书指控被告人何正华犯行贿罪，于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日向本院提起公诉。本院依法组成合议庭，公开开庭审理了本案。在审理期间，佛山市三水区人民检察院于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日向本院建议对本案延期审理，本院于同年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日决定延期审理；佛山市三水区人民检察院于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日建议对本案恢复审理，本院于次日决定恢复本案的法庭审理。佛山市三水区人民检察院指派检察员包琳琳出庭支持公诉，被告人何正华及辩护人张栩到庭参加诉讼。现已审理终结。</w:t>
      </w:r>
    </w:p>
    <w:p w14:paraId="7BE5D600" w14:textId="77777777" w:rsidR="002331E2" w:rsidRDefault="002331E2">
      <w:pPr>
        <w:spacing w:line="500" w:lineRule="atLeast"/>
        <w:ind w:firstLine="600"/>
        <w:divId w:val="27749533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何正华在租用佛山市三水工业园区某岗村集体留用土地成立佛山市三水区乐平镇某产业园物业服务部的过程中，通过时任佛山市三水区乐平镇党委书记乐某的帮忙，顺利租用了上述用地，并成功获得用地指标。事后，被告人何正华为了感谢乐某的帮忙以及继续获得关照，在乐某仅出资人民币</w:t>
      </w:r>
      <w:r>
        <w:rPr>
          <w:rFonts w:hint="eastAsia"/>
          <w:sz w:val="30"/>
          <w:szCs w:val="30"/>
        </w:rPr>
        <w:t>75</w:t>
      </w:r>
      <w:r>
        <w:rPr>
          <w:rFonts w:hint="eastAsia"/>
          <w:sz w:val="30"/>
          <w:szCs w:val="30"/>
        </w:rPr>
        <w:t>万元的情况下，私自将自己名下持有的价值人民币</w:t>
      </w:r>
      <w:r>
        <w:rPr>
          <w:rFonts w:hint="eastAsia"/>
          <w:sz w:val="30"/>
          <w:szCs w:val="30"/>
        </w:rPr>
        <w:t>150</w:t>
      </w:r>
      <w:r>
        <w:rPr>
          <w:rFonts w:hint="eastAsia"/>
          <w:sz w:val="30"/>
          <w:szCs w:val="30"/>
        </w:rPr>
        <w:t>万元的佛山市三水区乐平镇某产业园物业服务部的</w:t>
      </w:r>
      <w:r>
        <w:rPr>
          <w:rFonts w:hint="eastAsia"/>
          <w:sz w:val="30"/>
          <w:szCs w:val="30"/>
        </w:rPr>
        <w:t>10%</w:t>
      </w:r>
      <w:r>
        <w:rPr>
          <w:rFonts w:hint="eastAsia"/>
          <w:sz w:val="30"/>
          <w:szCs w:val="30"/>
        </w:rPr>
        <w:t>股权，赠送给时任佛山市禅城区区委常</w:t>
      </w:r>
      <w:r>
        <w:rPr>
          <w:rFonts w:hint="eastAsia"/>
          <w:sz w:val="30"/>
          <w:szCs w:val="30"/>
        </w:rPr>
        <w:lastRenderedPageBreak/>
        <w:t>委、区经济和科技促进局局长的乐某，并同意乐某以妻子李某的名义入股。</w:t>
      </w:r>
    </w:p>
    <w:p w14:paraId="3B4FC8B1" w14:textId="77777777" w:rsidR="002331E2" w:rsidRDefault="002331E2">
      <w:pPr>
        <w:spacing w:line="500" w:lineRule="atLeast"/>
        <w:ind w:firstLine="600"/>
        <w:divId w:val="1546599587"/>
        <w:rPr>
          <w:rFonts w:hint="eastAsia"/>
          <w:sz w:val="30"/>
          <w:szCs w:val="30"/>
        </w:rPr>
      </w:pPr>
      <w:r>
        <w:rPr>
          <w:rFonts w:hint="eastAsia"/>
          <w:sz w:val="30"/>
          <w:szCs w:val="30"/>
        </w:rPr>
        <w:t>上述事实，被告人何正华在开庭审理过程中不持异议，并有公诉机关提供的交办案件决定书、立案决定书，证人乐某、李某的证言，被告人何正华的供述，合作协议书，收条，土地使用协议书，个体户机读档案登记资料，营业执照，乐某的干部任免审批表，到案经过，人口信息查询表等证据证实，足以认定，本院予以确认。</w:t>
      </w:r>
    </w:p>
    <w:p w14:paraId="7ED31087" w14:textId="77777777" w:rsidR="002331E2" w:rsidRDefault="002331E2">
      <w:pPr>
        <w:spacing w:line="500" w:lineRule="atLeast"/>
        <w:ind w:firstLine="600"/>
        <w:divId w:val="1615090852"/>
        <w:rPr>
          <w:rFonts w:hint="eastAsia"/>
          <w:sz w:val="30"/>
          <w:szCs w:val="30"/>
        </w:rPr>
      </w:pPr>
      <w:r>
        <w:rPr>
          <w:rFonts w:hint="eastAsia"/>
          <w:sz w:val="30"/>
          <w:szCs w:val="30"/>
        </w:rPr>
        <w:t>本院认为，被告人何正华无视国家法律，为了谋取不正当利益，给予国家工作人员价值人民币</w:t>
      </w:r>
      <w:r>
        <w:rPr>
          <w:rFonts w:hint="eastAsia"/>
          <w:sz w:val="30"/>
          <w:szCs w:val="30"/>
        </w:rPr>
        <w:t>75</w:t>
      </w:r>
      <w:r>
        <w:rPr>
          <w:rFonts w:hint="eastAsia"/>
          <w:sz w:val="30"/>
          <w:szCs w:val="30"/>
        </w:rPr>
        <w:t>万元的财物，其行为已构成行贿罪，依法应当追究其相应的刑事责任。公诉机关指控的罪名成立，本院予以采纳。鉴于被告人何正华能主动投案并如实供述其罪行，具有自首情节，同时，被告人何正华在被追诉前主动交代其行贿行为，且是初犯，在法庭上自愿认罪，有悔罪表现，故本院决定对被告人何正华从轻处罚并宣告缓刑。辩护人张栩所提对被告人何正华从轻处罚的相关辩护意见有理，本院予以采纳。本院根据被告人犯罪的事实、性质、情节和社会危害程度，依照</w:t>
      </w:r>
      <w:r>
        <w:rPr>
          <w:rFonts w:hint="eastAsia"/>
          <w:sz w:val="30"/>
          <w:szCs w:val="30"/>
        </w:rPr>
        <w:t>1997</w:t>
      </w:r>
      <w:r>
        <w:rPr>
          <w:rFonts w:hint="eastAsia"/>
          <w:sz w:val="30"/>
          <w:szCs w:val="30"/>
        </w:rPr>
        <w:t>年修订的《中华人民共和国刑法》第三百八十九条第一款、第三百九十条，《中华人民共和国刑法》第六十七条第一款、第七十二条、第七十三条的规定，判决如下：</w:t>
      </w:r>
    </w:p>
    <w:p w14:paraId="022E1045" w14:textId="77777777" w:rsidR="002331E2" w:rsidRDefault="002331E2">
      <w:pPr>
        <w:spacing w:line="500" w:lineRule="atLeast"/>
        <w:ind w:firstLine="600"/>
        <w:divId w:val="939918456"/>
        <w:rPr>
          <w:rFonts w:hint="eastAsia"/>
          <w:sz w:val="30"/>
          <w:szCs w:val="30"/>
        </w:rPr>
      </w:pPr>
      <w:r>
        <w:rPr>
          <w:rFonts w:hint="eastAsia"/>
          <w:sz w:val="30"/>
          <w:szCs w:val="30"/>
        </w:rPr>
        <w:t>被告人何正华犯行贿罪，判处有期徒刑三年，缓刑三年。</w:t>
      </w:r>
    </w:p>
    <w:p w14:paraId="3C32D90B" w14:textId="77777777" w:rsidR="002331E2" w:rsidRDefault="002331E2">
      <w:pPr>
        <w:spacing w:line="500" w:lineRule="atLeast"/>
        <w:ind w:firstLine="600"/>
        <w:divId w:val="1967613806"/>
        <w:rPr>
          <w:rFonts w:hint="eastAsia"/>
          <w:sz w:val="30"/>
          <w:szCs w:val="30"/>
        </w:rPr>
      </w:pPr>
      <w:r>
        <w:rPr>
          <w:rFonts w:hint="eastAsia"/>
          <w:sz w:val="30"/>
          <w:szCs w:val="30"/>
        </w:rPr>
        <w:t>（缓刑考验期限从判决确定之日起计算。）</w:t>
      </w:r>
    </w:p>
    <w:p w14:paraId="05BD5AC3" w14:textId="77777777" w:rsidR="002331E2" w:rsidRDefault="002331E2">
      <w:pPr>
        <w:spacing w:line="500" w:lineRule="atLeast"/>
        <w:ind w:firstLine="600"/>
        <w:divId w:val="13109648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C4F9433" w14:textId="77777777" w:rsidR="002331E2" w:rsidRDefault="002331E2">
      <w:pPr>
        <w:spacing w:line="500" w:lineRule="atLeast"/>
        <w:jc w:val="right"/>
        <w:divId w:val="593706558"/>
        <w:rPr>
          <w:rFonts w:hint="eastAsia"/>
          <w:sz w:val="30"/>
          <w:szCs w:val="30"/>
        </w:rPr>
      </w:pPr>
      <w:r>
        <w:rPr>
          <w:rFonts w:hint="eastAsia"/>
          <w:sz w:val="30"/>
          <w:szCs w:val="30"/>
        </w:rPr>
        <w:t>审　判　长　　李　韬</w:t>
      </w:r>
    </w:p>
    <w:p w14:paraId="23F54C8F" w14:textId="77777777" w:rsidR="002331E2" w:rsidRDefault="002331E2">
      <w:pPr>
        <w:spacing w:line="500" w:lineRule="atLeast"/>
        <w:jc w:val="right"/>
        <w:divId w:val="1863786579"/>
        <w:rPr>
          <w:rFonts w:hint="eastAsia"/>
          <w:sz w:val="30"/>
          <w:szCs w:val="30"/>
        </w:rPr>
      </w:pPr>
      <w:r>
        <w:rPr>
          <w:rFonts w:hint="eastAsia"/>
          <w:sz w:val="30"/>
          <w:szCs w:val="30"/>
        </w:rPr>
        <w:t>人民陪审员　　韦源江</w:t>
      </w:r>
    </w:p>
    <w:p w14:paraId="1486D03C" w14:textId="77777777" w:rsidR="002331E2" w:rsidRDefault="002331E2">
      <w:pPr>
        <w:spacing w:line="500" w:lineRule="atLeast"/>
        <w:jc w:val="right"/>
        <w:divId w:val="461848874"/>
        <w:rPr>
          <w:rFonts w:hint="eastAsia"/>
          <w:sz w:val="30"/>
          <w:szCs w:val="30"/>
        </w:rPr>
      </w:pPr>
      <w:r>
        <w:rPr>
          <w:rFonts w:hint="eastAsia"/>
          <w:sz w:val="30"/>
          <w:szCs w:val="30"/>
        </w:rPr>
        <w:t>人民陪审员　　林培英</w:t>
      </w:r>
    </w:p>
    <w:p w14:paraId="12EF4FD0" w14:textId="77777777" w:rsidR="002331E2" w:rsidRDefault="002331E2">
      <w:pPr>
        <w:spacing w:line="500" w:lineRule="atLeast"/>
        <w:jc w:val="right"/>
        <w:divId w:val="2054383490"/>
        <w:rPr>
          <w:rFonts w:hint="eastAsia"/>
          <w:sz w:val="30"/>
          <w:szCs w:val="30"/>
        </w:rPr>
      </w:pPr>
      <w:r>
        <w:rPr>
          <w:rFonts w:hint="eastAsia"/>
          <w:sz w:val="30"/>
          <w:szCs w:val="30"/>
        </w:rPr>
        <w:t>二〇一七年十二月二十日</w:t>
      </w:r>
    </w:p>
    <w:p w14:paraId="01D59304" w14:textId="77777777" w:rsidR="002331E2" w:rsidRDefault="002331E2">
      <w:pPr>
        <w:spacing w:line="500" w:lineRule="atLeast"/>
        <w:jc w:val="right"/>
        <w:divId w:val="85926980"/>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ABAE" w14:textId="77777777" w:rsidR="002331E2" w:rsidRDefault="002331E2" w:rsidP="002331E2">
      <w:pPr>
        <w:rPr>
          <w:rFonts w:hint="eastAsia"/>
        </w:rPr>
      </w:pPr>
      <w:r>
        <w:separator/>
      </w:r>
    </w:p>
  </w:endnote>
  <w:endnote w:type="continuationSeparator" w:id="0">
    <w:p w14:paraId="1BCE3759" w14:textId="77777777" w:rsidR="002331E2" w:rsidRDefault="002331E2" w:rsidP="002331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F94F" w14:textId="77777777" w:rsidR="002331E2" w:rsidRDefault="002331E2" w:rsidP="002331E2">
      <w:pPr>
        <w:rPr>
          <w:rFonts w:hint="eastAsia"/>
        </w:rPr>
      </w:pPr>
      <w:r>
        <w:separator/>
      </w:r>
    </w:p>
  </w:footnote>
  <w:footnote w:type="continuationSeparator" w:id="0">
    <w:p w14:paraId="1D52D6D4" w14:textId="77777777" w:rsidR="002331E2" w:rsidRDefault="002331E2" w:rsidP="002331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31E2"/>
    <w:rsid w:val="002331E2"/>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F9CC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31E2"/>
    <w:pPr>
      <w:tabs>
        <w:tab w:val="center" w:pos="4153"/>
        <w:tab w:val="right" w:pos="8306"/>
      </w:tabs>
      <w:snapToGrid w:val="0"/>
      <w:jc w:val="center"/>
    </w:pPr>
    <w:rPr>
      <w:sz w:val="18"/>
      <w:szCs w:val="18"/>
    </w:rPr>
  </w:style>
  <w:style w:type="character" w:customStyle="1" w:styleId="a4">
    <w:name w:val="页眉 字符"/>
    <w:basedOn w:val="a0"/>
    <w:link w:val="a3"/>
    <w:uiPriority w:val="99"/>
    <w:rsid w:val="002331E2"/>
    <w:rPr>
      <w:rFonts w:ascii="宋体" w:eastAsia="宋体" w:hAnsi="宋体" w:cs="宋体"/>
      <w:sz w:val="18"/>
      <w:szCs w:val="18"/>
    </w:rPr>
  </w:style>
  <w:style w:type="paragraph" w:styleId="a5">
    <w:name w:val="footer"/>
    <w:basedOn w:val="a"/>
    <w:link w:val="a6"/>
    <w:uiPriority w:val="99"/>
    <w:unhideWhenUsed/>
    <w:rsid w:val="002331E2"/>
    <w:pPr>
      <w:tabs>
        <w:tab w:val="center" w:pos="4153"/>
        <w:tab w:val="right" w:pos="8306"/>
      </w:tabs>
      <w:snapToGrid w:val="0"/>
    </w:pPr>
    <w:rPr>
      <w:sz w:val="18"/>
      <w:szCs w:val="18"/>
    </w:rPr>
  </w:style>
  <w:style w:type="character" w:customStyle="1" w:styleId="a6">
    <w:name w:val="页脚 字符"/>
    <w:basedOn w:val="a0"/>
    <w:link w:val="a5"/>
    <w:uiPriority w:val="99"/>
    <w:rsid w:val="002331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7610">
      <w:marLeft w:val="0"/>
      <w:marRight w:val="0"/>
      <w:marTop w:val="10"/>
      <w:marBottom w:val="10"/>
      <w:divBdr>
        <w:top w:val="none" w:sz="0" w:space="0" w:color="auto"/>
        <w:left w:val="none" w:sz="0" w:space="0" w:color="auto"/>
        <w:bottom w:val="none" w:sz="0" w:space="0" w:color="auto"/>
        <w:right w:val="none" w:sz="0" w:space="0" w:color="auto"/>
      </w:divBdr>
    </w:div>
    <w:div w:id="85926980">
      <w:marLeft w:val="0"/>
      <w:marRight w:val="720"/>
      <w:marTop w:val="10"/>
      <w:marBottom w:val="10"/>
      <w:divBdr>
        <w:top w:val="none" w:sz="0" w:space="0" w:color="auto"/>
        <w:left w:val="none" w:sz="0" w:space="0" w:color="auto"/>
        <w:bottom w:val="none" w:sz="0" w:space="0" w:color="auto"/>
        <w:right w:val="none" w:sz="0" w:space="0" w:color="auto"/>
      </w:divBdr>
    </w:div>
    <w:div w:id="131096483">
      <w:marLeft w:val="0"/>
      <w:marRight w:val="0"/>
      <w:marTop w:val="10"/>
      <w:marBottom w:val="10"/>
      <w:divBdr>
        <w:top w:val="none" w:sz="0" w:space="0" w:color="auto"/>
        <w:left w:val="none" w:sz="0" w:space="0" w:color="auto"/>
        <w:bottom w:val="none" w:sz="0" w:space="0" w:color="auto"/>
        <w:right w:val="none" w:sz="0" w:space="0" w:color="auto"/>
      </w:divBdr>
    </w:div>
    <w:div w:id="159926385">
      <w:marLeft w:val="0"/>
      <w:marRight w:val="0"/>
      <w:marTop w:val="10"/>
      <w:marBottom w:val="10"/>
      <w:divBdr>
        <w:top w:val="none" w:sz="0" w:space="0" w:color="auto"/>
        <w:left w:val="none" w:sz="0" w:space="0" w:color="auto"/>
        <w:bottom w:val="none" w:sz="0" w:space="0" w:color="auto"/>
        <w:right w:val="none" w:sz="0" w:space="0" w:color="auto"/>
      </w:divBdr>
    </w:div>
    <w:div w:id="277495331">
      <w:marLeft w:val="0"/>
      <w:marRight w:val="0"/>
      <w:marTop w:val="10"/>
      <w:marBottom w:val="10"/>
      <w:divBdr>
        <w:top w:val="none" w:sz="0" w:space="0" w:color="auto"/>
        <w:left w:val="none" w:sz="0" w:space="0" w:color="auto"/>
        <w:bottom w:val="none" w:sz="0" w:space="0" w:color="auto"/>
        <w:right w:val="none" w:sz="0" w:space="0" w:color="auto"/>
      </w:divBdr>
    </w:div>
    <w:div w:id="461848874">
      <w:marLeft w:val="0"/>
      <w:marRight w:val="720"/>
      <w:marTop w:val="10"/>
      <w:marBottom w:val="10"/>
      <w:divBdr>
        <w:top w:val="none" w:sz="0" w:space="0" w:color="auto"/>
        <w:left w:val="none" w:sz="0" w:space="0" w:color="auto"/>
        <w:bottom w:val="none" w:sz="0" w:space="0" w:color="auto"/>
        <w:right w:val="none" w:sz="0" w:space="0" w:color="auto"/>
      </w:divBdr>
    </w:div>
    <w:div w:id="593706558">
      <w:marLeft w:val="0"/>
      <w:marRight w:val="720"/>
      <w:marTop w:val="10"/>
      <w:marBottom w:val="10"/>
      <w:divBdr>
        <w:top w:val="none" w:sz="0" w:space="0" w:color="auto"/>
        <w:left w:val="none" w:sz="0" w:space="0" w:color="auto"/>
        <w:bottom w:val="none" w:sz="0" w:space="0" w:color="auto"/>
        <w:right w:val="none" w:sz="0" w:space="0" w:color="auto"/>
      </w:divBdr>
    </w:div>
    <w:div w:id="683634848">
      <w:marLeft w:val="0"/>
      <w:marRight w:val="0"/>
      <w:marTop w:val="10"/>
      <w:marBottom w:val="10"/>
      <w:divBdr>
        <w:top w:val="none" w:sz="0" w:space="0" w:color="auto"/>
        <w:left w:val="none" w:sz="0" w:space="0" w:color="auto"/>
        <w:bottom w:val="none" w:sz="0" w:space="0" w:color="auto"/>
        <w:right w:val="none" w:sz="0" w:space="0" w:color="auto"/>
      </w:divBdr>
    </w:div>
    <w:div w:id="939918456">
      <w:marLeft w:val="0"/>
      <w:marRight w:val="0"/>
      <w:marTop w:val="10"/>
      <w:marBottom w:val="10"/>
      <w:divBdr>
        <w:top w:val="none" w:sz="0" w:space="0" w:color="auto"/>
        <w:left w:val="none" w:sz="0" w:space="0" w:color="auto"/>
        <w:bottom w:val="none" w:sz="0" w:space="0" w:color="auto"/>
        <w:right w:val="none" w:sz="0" w:space="0" w:color="auto"/>
      </w:divBdr>
    </w:div>
    <w:div w:id="1269045727">
      <w:marLeft w:val="0"/>
      <w:marRight w:val="0"/>
      <w:marTop w:val="10"/>
      <w:marBottom w:val="10"/>
      <w:divBdr>
        <w:top w:val="none" w:sz="0" w:space="0" w:color="auto"/>
        <w:left w:val="none" w:sz="0" w:space="0" w:color="auto"/>
        <w:bottom w:val="none" w:sz="0" w:space="0" w:color="auto"/>
        <w:right w:val="none" w:sz="0" w:space="0" w:color="auto"/>
      </w:divBdr>
    </w:div>
    <w:div w:id="1497502377">
      <w:marLeft w:val="0"/>
      <w:marRight w:val="0"/>
      <w:marTop w:val="10"/>
      <w:marBottom w:val="10"/>
      <w:divBdr>
        <w:top w:val="none" w:sz="0" w:space="0" w:color="auto"/>
        <w:left w:val="none" w:sz="0" w:space="0" w:color="auto"/>
        <w:bottom w:val="none" w:sz="0" w:space="0" w:color="auto"/>
        <w:right w:val="none" w:sz="0" w:space="0" w:color="auto"/>
      </w:divBdr>
    </w:div>
    <w:div w:id="1546599587">
      <w:marLeft w:val="0"/>
      <w:marRight w:val="0"/>
      <w:marTop w:val="10"/>
      <w:marBottom w:val="10"/>
      <w:divBdr>
        <w:top w:val="none" w:sz="0" w:space="0" w:color="auto"/>
        <w:left w:val="none" w:sz="0" w:space="0" w:color="auto"/>
        <w:bottom w:val="none" w:sz="0" w:space="0" w:color="auto"/>
        <w:right w:val="none" w:sz="0" w:space="0" w:color="auto"/>
      </w:divBdr>
    </w:div>
    <w:div w:id="1615090852">
      <w:marLeft w:val="0"/>
      <w:marRight w:val="0"/>
      <w:marTop w:val="10"/>
      <w:marBottom w:val="10"/>
      <w:divBdr>
        <w:top w:val="none" w:sz="0" w:space="0" w:color="auto"/>
        <w:left w:val="none" w:sz="0" w:space="0" w:color="auto"/>
        <w:bottom w:val="none" w:sz="0" w:space="0" w:color="auto"/>
        <w:right w:val="none" w:sz="0" w:space="0" w:color="auto"/>
      </w:divBdr>
    </w:div>
    <w:div w:id="1729376723">
      <w:marLeft w:val="0"/>
      <w:marRight w:val="0"/>
      <w:marTop w:val="10"/>
      <w:marBottom w:val="10"/>
      <w:divBdr>
        <w:top w:val="none" w:sz="0" w:space="0" w:color="auto"/>
        <w:left w:val="none" w:sz="0" w:space="0" w:color="auto"/>
        <w:bottom w:val="none" w:sz="0" w:space="0" w:color="auto"/>
        <w:right w:val="none" w:sz="0" w:space="0" w:color="auto"/>
      </w:divBdr>
    </w:div>
    <w:div w:id="1863786579">
      <w:marLeft w:val="0"/>
      <w:marRight w:val="720"/>
      <w:marTop w:val="10"/>
      <w:marBottom w:val="10"/>
      <w:divBdr>
        <w:top w:val="none" w:sz="0" w:space="0" w:color="auto"/>
        <w:left w:val="none" w:sz="0" w:space="0" w:color="auto"/>
        <w:bottom w:val="none" w:sz="0" w:space="0" w:color="auto"/>
        <w:right w:val="none" w:sz="0" w:space="0" w:color="auto"/>
      </w:divBdr>
    </w:div>
    <w:div w:id="1967613806">
      <w:marLeft w:val="0"/>
      <w:marRight w:val="0"/>
      <w:marTop w:val="10"/>
      <w:marBottom w:val="10"/>
      <w:divBdr>
        <w:top w:val="none" w:sz="0" w:space="0" w:color="auto"/>
        <w:left w:val="none" w:sz="0" w:space="0" w:color="auto"/>
        <w:bottom w:val="none" w:sz="0" w:space="0" w:color="auto"/>
        <w:right w:val="none" w:sz="0" w:space="0" w:color="auto"/>
      </w:divBdr>
    </w:div>
    <w:div w:id="2054383490">
      <w:marLeft w:val="0"/>
      <w:marRight w:val="720"/>
      <w:marTop w:val="10"/>
      <w:marBottom w:val="10"/>
      <w:divBdr>
        <w:top w:val="none" w:sz="0" w:space="0" w:color="auto"/>
        <w:left w:val="none" w:sz="0" w:space="0" w:color="auto"/>
        <w:bottom w:val="none" w:sz="0" w:space="0" w:color="auto"/>
        <w:right w:val="none" w:sz="0" w:space="0" w:color="auto"/>
      </w:divBdr>
    </w:div>
    <w:div w:id="21370914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