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E175F" w14:textId="77777777" w:rsidR="00784782" w:rsidRDefault="00784782">
      <w:pPr>
        <w:spacing w:line="500" w:lineRule="atLeast"/>
        <w:jc w:val="center"/>
        <w:divId w:val="2075934509"/>
        <w:rPr>
          <w:rFonts w:ascii="黑体" w:eastAsia="黑体" w:hAnsi="黑体"/>
          <w:sz w:val="36"/>
          <w:szCs w:val="36"/>
        </w:rPr>
      </w:pPr>
      <w:r>
        <w:rPr>
          <w:rFonts w:ascii="黑体" w:eastAsia="黑体" w:hAnsi="黑体" w:hint="eastAsia"/>
          <w:sz w:val="36"/>
          <w:szCs w:val="36"/>
        </w:rPr>
        <w:t>广东省佛山市南海区人民法院</w:t>
      </w:r>
    </w:p>
    <w:p w14:paraId="4B43917F" w14:textId="77777777" w:rsidR="00784782" w:rsidRDefault="00784782">
      <w:pPr>
        <w:spacing w:line="500" w:lineRule="atLeast"/>
        <w:jc w:val="center"/>
        <w:divId w:val="7906363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3183E2" w14:textId="77777777" w:rsidR="00784782" w:rsidRDefault="00784782">
      <w:pPr>
        <w:spacing w:line="500" w:lineRule="atLeast"/>
        <w:jc w:val="right"/>
        <w:divId w:val="413749012"/>
        <w:rPr>
          <w:rFonts w:hint="eastAsia"/>
          <w:sz w:val="30"/>
          <w:szCs w:val="30"/>
        </w:rPr>
      </w:pP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3268</w:t>
      </w:r>
      <w:r>
        <w:rPr>
          <w:rFonts w:hint="eastAsia"/>
          <w:sz w:val="30"/>
          <w:szCs w:val="30"/>
        </w:rPr>
        <w:t>号</w:t>
      </w:r>
    </w:p>
    <w:p w14:paraId="589D71A2" w14:textId="77777777" w:rsidR="00784782" w:rsidRDefault="00784782">
      <w:pPr>
        <w:spacing w:line="500" w:lineRule="atLeast"/>
        <w:ind w:firstLine="600"/>
        <w:divId w:val="1132215274"/>
        <w:rPr>
          <w:rFonts w:hint="eastAsia"/>
          <w:sz w:val="30"/>
          <w:szCs w:val="30"/>
        </w:rPr>
      </w:pPr>
      <w:r>
        <w:rPr>
          <w:rFonts w:hint="eastAsia"/>
          <w:sz w:val="30"/>
          <w:szCs w:val="30"/>
        </w:rPr>
        <w:t>公诉机关佛山市南海区人民检察院。</w:t>
      </w:r>
    </w:p>
    <w:p w14:paraId="2B1D297F" w14:textId="77777777" w:rsidR="00784782" w:rsidRDefault="00784782">
      <w:pPr>
        <w:spacing w:line="500" w:lineRule="atLeast"/>
        <w:ind w:firstLine="600"/>
        <w:divId w:val="336079307"/>
        <w:rPr>
          <w:rFonts w:hint="eastAsia"/>
          <w:sz w:val="30"/>
          <w:szCs w:val="30"/>
        </w:rPr>
      </w:pPr>
      <w:r>
        <w:rPr>
          <w:rFonts w:hint="eastAsia"/>
          <w:sz w:val="30"/>
          <w:szCs w:val="30"/>
        </w:rPr>
        <w:t>被告人何流波，男，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日出生于佛山市南海区，汉族，高中文化，佛山市联河加油站有限公司法定代表人，住南海区，因本案于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日被羁押，同日被刑事拘留，同月</w:t>
      </w:r>
      <w:r>
        <w:rPr>
          <w:rFonts w:hint="eastAsia"/>
          <w:sz w:val="30"/>
          <w:szCs w:val="30"/>
        </w:rPr>
        <w:t>21</w:t>
      </w:r>
      <w:r>
        <w:rPr>
          <w:rFonts w:hint="eastAsia"/>
          <w:sz w:val="30"/>
          <w:szCs w:val="30"/>
        </w:rPr>
        <w:t>日被取保候审。</w:t>
      </w:r>
    </w:p>
    <w:p w14:paraId="18CDB838" w14:textId="77777777" w:rsidR="00784782" w:rsidRDefault="00784782">
      <w:pPr>
        <w:spacing w:line="500" w:lineRule="atLeast"/>
        <w:ind w:firstLine="600"/>
        <w:divId w:val="1554997998"/>
        <w:rPr>
          <w:rFonts w:hint="eastAsia"/>
          <w:sz w:val="30"/>
          <w:szCs w:val="30"/>
        </w:rPr>
      </w:pPr>
      <w:r>
        <w:rPr>
          <w:rFonts w:hint="eastAsia"/>
          <w:sz w:val="30"/>
          <w:szCs w:val="30"/>
        </w:rPr>
        <w:t>辩护人黎婉君、徐震林，分别系广东捷顺律师事务所律师、实习律师。</w:t>
      </w:r>
    </w:p>
    <w:p w14:paraId="2720EFF9" w14:textId="77777777" w:rsidR="00784782" w:rsidRDefault="00784782">
      <w:pPr>
        <w:spacing w:line="500" w:lineRule="atLeast"/>
        <w:ind w:firstLine="600"/>
        <w:divId w:val="2049866712"/>
        <w:rPr>
          <w:rFonts w:hint="eastAsia"/>
          <w:sz w:val="30"/>
          <w:szCs w:val="30"/>
        </w:rPr>
      </w:pPr>
      <w:r>
        <w:rPr>
          <w:rFonts w:hint="eastAsia"/>
          <w:sz w:val="30"/>
          <w:szCs w:val="30"/>
        </w:rPr>
        <w:t>佛山市南海区人民检察院以佛南检公诉刑诉</w:t>
      </w:r>
      <w:r>
        <w:rPr>
          <w:rFonts w:hint="eastAsia"/>
          <w:sz w:val="30"/>
          <w:szCs w:val="30"/>
        </w:rPr>
        <w:t>[2017]3021</w:t>
      </w:r>
      <w:r>
        <w:rPr>
          <w:rFonts w:hint="eastAsia"/>
          <w:sz w:val="30"/>
          <w:szCs w:val="30"/>
        </w:rPr>
        <w:t>号起诉书指控被告人何流波犯行贿罪，于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日向本院提起公诉。本院依法适用普通程序，组成合议庭，公开开庭审理了本案。南海区人民检察院指派检察员关尚辉出庭支持公诉，何流波及其辩护人黎婉君、徐震林到庭参加了诉讼。本案现已审理终结。</w:t>
      </w:r>
    </w:p>
    <w:p w14:paraId="35A2DCB4" w14:textId="77777777" w:rsidR="00784782" w:rsidRDefault="00784782">
      <w:pPr>
        <w:spacing w:line="500" w:lineRule="atLeast"/>
        <w:ind w:firstLine="600"/>
        <w:divId w:val="1226453158"/>
        <w:rPr>
          <w:rFonts w:hint="eastAsia"/>
          <w:sz w:val="30"/>
          <w:szCs w:val="30"/>
        </w:rPr>
      </w:pPr>
      <w:r>
        <w:rPr>
          <w:rFonts w:hint="eastAsia"/>
          <w:sz w:val="30"/>
          <w:szCs w:val="30"/>
        </w:rPr>
        <w:t>公诉机关指控，一、</w:t>
      </w:r>
      <w:r>
        <w:rPr>
          <w:rFonts w:hint="eastAsia"/>
          <w:sz w:val="30"/>
          <w:szCs w:val="30"/>
        </w:rPr>
        <w:t>2013</w:t>
      </w:r>
      <w:r>
        <w:rPr>
          <w:rFonts w:hint="eastAsia"/>
          <w:sz w:val="30"/>
          <w:szCs w:val="30"/>
        </w:rPr>
        <w:t>年，被告人何流波建设联盈大厦项目，委托广东南海城乡规划设计有限公司创意筑分公司的吕东生（另案处理）设计并规划报建。为谋求经济利益，让该项目尽快通过规划审批，何流波向吕某提出可以出资送钱给南海区规划局的工作人员，吕东生于是转告了在南海区国土城建和水务局综合技术科工作的李焕高（另案处理）让其帮忙。该项目经李焕高审批通过后，何流波将</w:t>
      </w:r>
      <w:r>
        <w:rPr>
          <w:rFonts w:hint="eastAsia"/>
          <w:sz w:val="30"/>
          <w:szCs w:val="30"/>
        </w:rPr>
        <w:t>10</w:t>
      </w:r>
      <w:r>
        <w:rPr>
          <w:rFonts w:hint="eastAsia"/>
          <w:sz w:val="30"/>
          <w:szCs w:val="30"/>
        </w:rPr>
        <w:t>万元交给吕某，由吕某交给了李焕高。</w:t>
      </w:r>
    </w:p>
    <w:p w14:paraId="43F9B68A" w14:textId="77777777" w:rsidR="00784782" w:rsidRDefault="00784782">
      <w:pPr>
        <w:spacing w:line="500" w:lineRule="atLeast"/>
        <w:ind w:firstLine="600"/>
        <w:divId w:val="1894198719"/>
        <w:rPr>
          <w:rFonts w:hint="eastAsia"/>
          <w:sz w:val="30"/>
          <w:szCs w:val="30"/>
        </w:rPr>
      </w:pPr>
      <w:r>
        <w:rPr>
          <w:rFonts w:hint="eastAsia"/>
          <w:sz w:val="30"/>
          <w:szCs w:val="30"/>
        </w:rPr>
        <w:t>二、</w:t>
      </w:r>
      <w:r>
        <w:rPr>
          <w:rFonts w:hint="eastAsia"/>
          <w:sz w:val="30"/>
          <w:szCs w:val="30"/>
        </w:rPr>
        <w:t>2015</w:t>
      </w:r>
      <w:r>
        <w:rPr>
          <w:rFonts w:hint="eastAsia"/>
          <w:sz w:val="30"/>
          <w:szCs w:val="30"/>
        </w:rPr>
        <w:t>年，被告人何流波建设联和大厦项目，委托吕某设计并规划报建。为谋求经济利益，该项目因设计容量、密度等原因未能通过报建审批。何流波与吕某向李焕高咨询了报建</w:t>
      </w:r>
      <w:r>
        <w:rPr>
          <w:rFonts w:hint="eastAsia"/>
          <w:sz w:val="30"/>
          <w:szCs w:val="30"/>
        </w:rPr>
        <w:lastRenderedPageBreak/>
        <w:t>被退件原因，请李焕高帮忙，又许诺事成后给予李焕高好处费。该项目经李焕高审批通过后，何流波将</w:t>
      </w:r>
      <w:r>
        <w:rPr>
          <w:rFonts w:hint="eastAsia"/>
          <w:sz w:val="30"/>
          <w:szCs w:val="30"/>
        </w:rPr>
        <w:t>40</w:t>
      </w:r>
      <w:r>
        <w:rPr>
          <w:rFonts w:hint="eastAsia"/>
          <w:sz w:val="30"/>
          <w:szCs w:val="30"/>
        </w:rPr>
        <w:t>万元交给了吕某，由吕某转交给李焕高，李焕高让吕某代为保管。</w:t>
      </w:r>
    </w:p>
    <w:p w14:paraId="5DDC9B1B" w14:textId="77777777" w:rsidR="00784782" w:rsidRDefault="00784782">
      <w:pPr>
        <w:spacing w:line="500" w:lineRule="atLeast"/>
        <w:ind w:firstLine="600"/>
        <w:divId w:val="152455173"/>
        <w:rPr>
          <w:rFonts w:hint="eastAsia"/>
          <w:sz w:val="30"/>
          <w:szCs w:val="30"/>
        </w:rPr>
      </w:pPr>
      <w:r>
        <w:rPr>
          <w:rFonts w:hint="eastAsia"/>
          <w:sz w:val="30"/>
          <w:szCs w:val="30"/>
        </w:rPr>
        <w:t>案发后，吕某已向侦查部门退缴了代为保管的</w:t>
      </w:r>
      <w:r>
        <w:rPr>
          <w:rFonts w:hint="eastAsia"/>
          <w:sz w:val="30"/>
          <w:szCs w:val="30"/>
        </w:rPr>
        <w:t>40</w:t>
      </w:r>
      <w:r>
        <w:rPr>
          <w:rFonts w:hint="eastAsia"/>
          <w:sz w:val="30"/>
          <w:szCs w:val="30"/>
        </w:rPr>
        <w:t>万元。</w:t>
      </w:r>
    </w:p>
    <w:p w14:paraId="733745E1" w14:textId="77777777" w:rsidR="00784782" w:rsidRDefault="00784782">
      <w:pPr>
        <w:spacing w:line="500" w:lineRule="atLeast"/>
        <w:ind w:firstLine="600"/>
        <w:divId w:val="42796679"/>
        <w:rPr>
          <w:rFonts w:hint="eastAsia"/>
          <w:sz w:val="30"/>
          <w:szCs w:val="30"/>
        </w:rPr>
      </w:pPr>
      <w:r>
        <w:rPr>
          <w:rFonts w:hint="eastAsia"/>
          <w:sz w:val="30"/>
          <w:szCs w:val="30"/>
        </w:rPr>
        <w:t>就上述指控，公诉机关向法庭出示了相关在案证据予以证实，并认为被告人何流波的行为已触犯了《中华人民共和国刑法》第三百八十九条、第三百九十条之规定，应当以行贿罪追究其刑事责任。</w:t>
      </w:r>
    </w:p>
    <w:p w14:paraId="2A80B83C" w14:textId="77777777" w:rsidR="00784782" w:rsidRDefault="00784782">
      <w:pPr>
        <w:spacing w:line="500" w:lineRule="atLeast"/>
        <w:ind w:firstLine="600"/>
        <w:divId w:val="1693069551"/>
        <w:rPr>
          <w:rFonts w:hint="eastAsia"/>
          <w:sz w:val="30"/>
          <w:szCs w:val="30"/>
        </w:rPr>
      </w:pPr>
      <w:r>
        <w:rPr>
          <w:rFonts w:hint="eastAsia"/>
          <w:sz w:val="30"/>
          <w:szCs w:val="30"/>
        </w:rPr>
        <w:t>被告人何流波辩称，</w:t>
      </w:r>
      <w:r>
        <w:rPr>
          <w:rFonts w:hint="eastAsia"/>
          <w:sz w:val="30"/>
          <w:szCs w:val="30"/>
        </w:rPr>
        <w:t>1</w:t>
      </w:r>
      <w:r>
        <w:rPr>
          <w:rFonts w:hint="eastAsia"/>
          <w:sz w:val="30"/>
          <w:szCs w:val="30"/>
        </w:rPr>
        <w:t>、第一宗事实中，行贿的金额为五六万元；</w:t>
      </w:r>
      <w:r>
        <w:rPr>
          <w:rFonts w:hint="eastAsia"/>
          <w:sz w:val="30"/>
          <w:szCs w:val="30"/>
        </w:rPr>
        <w:t>2</w:t>
      </w:r>
      <w:r>
        <w:rPr>
          <w:rFonts w:hint="eastAsia"/>
          <w:sz w:val="30"/>
          <w:szCs w:val="30"/>
        </w:rPr>
        <w:t>、第二宗事实中，行贿的金额为</w:t>
      </w:r>
      <w:r>
        <w:rPr>
          <w:rFonts w:hint="eastAsia"/>
          <w:sz w:val="30"/>
          <w:szCs w:val="30"/>
        </w:rPr>
        <w:t>35</w:t>
      </w:r>
      <w:r>
        <w:rPr>
          <w:rFonts w:hint="eastAsia"/>
          <w:sz w:val="30"/>
          <w:szCs w:val="30"/>
        </w:rPr>
        <w:t>万元；</w:t>
      </w:r>
      <w:r>
        <w:rPr>
          <w:rFonts w:hint="eastAsia"/>
          <w:sz w:val="30"/>
          <w:szCs w:val="30"/>
        </w:rPr>
        <w:t>3</w:t>
      </w:r>
      <w:r>
        <w:rPr>
          <w:rFonts w:hint="eastAsia"/>
          <w:sz w:val="30"/>
          <w:szCs w:val="30"/>
        </w:rPr>
        <w:t>、其行为应定性为单位行贿。</w:t>
      </w:r>
    </w:p>
    <w:p w14:paraId="27289410" w14:textId="77777777" w:rsidR="00784782" w:rsidRDefault="00784782">
      <w:pPr>
        <w:spacing w:line="500" w:lineRule="atLeast"/>
        <w:ind w:firstLine="600"/>
        <w:divId w:val="1315136033"/>
        <w:rPr>
          <w:rFonts w:hint="eastAsia"/>
          <w:sz w:val="30"/>
          <w:szCs w:val="30"/>
        </w:rPr>
      </w:pPr>
      <w:r>
        <w:rPr>
          <w:rFonts w:hint="eastAsia"/>
          <w:sz w:val="30"/>
          <w:szCs w:val="30"/>
        </w:rPr>
        <w:t>辩护人辩称被告人何流波的行为应定性为单位行贿，另以何流波没有谋取不正当利益，且认罪态度好为由，建议对其从轻处罚并适用缓刑。</w:t>
      </w:r>
    </w:p>
    <w:p w14:paraId="5AC5017A" w14:textId="77777777" w:rsidR="00784782" w:rsidRDefault="00784782">
      <w:pPr>
        <w:spacing w:line="500" w:lineRule="atLeast"/>
        <w:ind w:firstLine="600"/>
        <w:divId w:val="577634756"/>
        <w:rPr>
          <w:rFonts w:hint="eastAsia"/>
          <w:sz w:val="30"/>
          <w:szCs w:val="30"/>
        </w:rPr>
      </w:pPr>
      <w:r>
        <w:rPr>
          <w:rFonts w:hint="eastAsia"/>
          <w:sz w:val="30"/>
          <w:szCs w:val="30"/>
        </w:rPr>
        <w:t>经审理查明，公诉机关指控被告人何流波行贿的事实清楚，证据确实、充分，本院予以确认。</w:t>
      </w:r>
    </w:p>
    <w:p w14:paraId="52D69317" w14:textId="77777777" w:rsidR="00784782" w:rsidRDefault="00784782">
      <w:pPr>
        <w:spacing w:line="500" w:lineRule="atLeast"/>
        <w:ind w:firstLine="600"/>
        <w:divId w:val="1404990393"/>
        <w:rPr>
          <w:rFonts w:hint="eastAsia"/>
          <w:sz w:val="30"/>
          <w:szCs w:val="30"/>
        </w:rPr>
      </w:pPr>
      <w:r>
        <w:rPr>
          <w:rFonts w:hint="eastAsia"/>
          <w:sz w:val="30"/>
          <w:szCs w:val="30"/>
        </w:rPr>
        <w:t>关于被告人何流波就行贿金额提出的异议，经查，李焕高明确反映两宗事实中的贿赂金额分别为</w:t>
      </w:r>
      <w:r>
        <w:rPr>
          <w:rFonts w:hint="eastAsia"/>
          <w:sz w:val="30"/>
          <w:szCs w:val="30"/>
        </w:rPr>
        <w:t>10</w:t>
      </w:r>
      <w:r>
        <w:rPr>
          <w:rFonts w:hint="eastAsia"/>
          <w:sz w:val="30"/>
          <w:szCs w:val="30"/>
        </w:rPr>
        <w:t>万元和</w:t>
      </w:r>
      <w:r>
        <w:rPr>
          <w:rFonts w:hint="eastAsia"/>
          <w:sz w:val="30"/>
          <w:szCs w:val="30"/>
        </w:rPr>
        <w:t>40</w:t>
      </w:r>
      <w:r>
        <w:rPr>
          <w:rFonts w:hint="eastAsia"/>
          <w:sz w:val="30"/>
          <w:szCs w:val="30"/>
        </w:rPr>
        <w:t>万元，何流波和吕某的供述对此能够予以印证，故现有证据可以认定何流波的行贿金额共计</w:t>
      </w:r>
      <w:r>
        <w:rPr>
          <w:rFonts w:hint="eastAsia"/>
          <w:sz w:val="30"/>
          <w:szCs w:val="30"/>
        </w:rPr>
        <w:t>50</w:t>
      </w:r>
      <w:r>
        <w:rPr>
          <w:rFonts w:hint="eastAsia"/>
          <w:sz w:val="30"/>
          <w:szCs w:val="30"/>
        </w:rPr>
        <w:t>万元，何流波的相关辩解理据不足，不予采纳。</w:t>
      </w:r>
    </w:p>
    <w:p w14:paraId="0CD5B72B" w14:textId="77777777" w:rsidR="00784782" w:rsidRDefault="00784782">
      <w:pPr>
        <w:spacing w:line="500" w:lineRule="atLeast"/>
        <w:ind w:firstLine="600"/>
        <w:divId w:val="1010064285"/>
        <w:rPr>
          <w:rFonts w:hint="eastAsia"/>
          <w:sz w:val="30"/>
          <w:szCs w:val="30"/>
        </w:rPr>
      </w:pPr>
      <w:r>
        <w:rPr>
          <w:rFonts w:hint="eastAsia"/>
          <w:sz w:val="30"/>
          <w:szCs w:val="30"/>
        </w:rPr>
        <w:t>本院认为，被告人何流波为谋取不正当利益，给予国家工作人员以财物，其行为已构成行贿罪。公诉机关所控罪名成立，何流波及其辩护人提出的相关辩解和辩护意见理据不足，不予采纳。何流波对公诉机关指控的主要犯罪事实无异议，当庭自愿认罪，酌情从轻处罚并适用缓刑，采纳辩护人的相关辩护意见。依照</w:t>
      </w:r>
      <w:r>
        <w:rPr>
          <w:rFonts w:hint="eastAsia"/>
          <w:sz w:val="30"/>
          <w:szCs w:val="30"/>
        </w:rPr>
        <w:t>1997</w:t>
      </w:r>
      <w:r>
        <w:rPr>
          <w:rFonts w:hint="eastAsia"/>
          <w:sz w:val="30"/>
          <w:szCs w:val="30"/>
        </w:rPr>
        <w:t>年修订的《中华人民共和国刑法》第十二条、第三百八十九条、第三百九十条、第七十二条第一款、第七十三条第二、三款之规定，判决如下：</w:t>
      </w:r>
    </w:p>
    <w:p w14:paraId="7DE0AFFA" w14:textId="77777777" w:rsidR="00784782" w:rsidRDefault="00784782">
      <w:pPr>
        <w:spacing w:line="500" w:lineRule="atLeast"/>
        <w:ind w:firstLine="600"/>
        <w:divId w:val="948203313"/>
        <w:rPr>
          <w:rFonts w:hint="eastAsia"/>
          <w:sz w:val="30"/>
          <w:szCs w:val="30"/>
        </w:rPr>
      </w:pPr>
      <w:r>
        <w:rPr>
          <w:rFonts w:hint="eastAsia"/>
          <w:sz w:val="30"/>
          <w:szCs w:val="30"/>
        </w:rPr>
        <w:t>被告人何流波犯行贿罪，判处有期徒刑一年，缓刑二年（缓刑考验期限，从判决确定之日起计算）。</w:t>
      </w:r>
    </w:p>
    <w:p w14:paraId="2FCC1557" w14:textId="77777777" w:rsidR="00784782" w:rsidRDefault="00784782">
      <w:pPr>
        <w:spacing w:line="500" w:lineRule="atLeast"/>
        <w:ind w:firstLine="600"/>
        <w:divId w:val="120201363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435B6679" w14:textId="77777777" w:rsidR="00784782" w:rsidRDefault="00784782">
      <w:pPr>
        <w:spacing w:line="500" w:lineRule="atLeast"/>
        <w:jc w:val="right"/>
        <w:divId w:val="225188828"/>
        <w:rPr>
          <w:rFonts w:hint="eastAsia"/>
          <w:sz w:val="30"/>
          <w:szCs w:val="30"/>
        </w:rPr>
      </w:pPr>
      <w:r>
        <w:rPr>
          <w:rFonts w:hint="eastAsia"/>
          <w:sz w:val="30"/>
          <w:szCs w:val="30"/>
        </w:rPr>
        <w:t>审　判　长　　黄丛西</w:t>
      </w:r>
    </w:p>
    <w:p w14:paraId="24770ED1" w14:textId="77777777" w:rsidR="00784782" w:rsidRDefault="00784782">
      <w:pPr>
        <w:spacing w:line="500" w:lineRule="atLeast"/>
        <w:jc w:val="right"/>
        <w:divId w:val="1453745388"/>
        <w:rPr>
          <w:rFonts w:hint="eastAsia"/>
          <w:sz w:val="30"/>
          <w:szCs w:val="30"/>
        </w:rPr>
      </w:pPr>
      <w:r>
        <w:rPr>
          <w:rFonts w:hint="eastAsia"/>
          <w:sz w:val="30"/>
          <w:szCs w:val="30"/>
        </w:rPr>
        <w:t>人民陪审员　　周少冰</w:t>
      </w:r>
    </w:p>
    <w:p w14:paraId="0680401F" w14:textId="77777777" w:rsidR="00784782" w:rsidRDefault="00784782">
      <w:pPr>
        <w:spacing w:line="500" w:lineRule="atLeast"/>
        <w:jc w:val="right"/>
        <w:divId w:val="1409306490"/>
        <w:rPr>
          <w:rFonts w:hint="eastAsia"/>
          <w:sz w:val="30"/>
          <w:szCs w:val="30"/>
        </w:rPr>
      </w:pPr>
      <w:r>
        <w:rPr>
          <w:rFonts w:hint="eastAsia"/>
          <w:sz w:val="30"/>
          <w:szCs w:val="30"/>
        </w:rPr>
        <w:t>人民陪审员　　莫小慧</w:t>
      </w:r>
    </w:p>
    <w:p w14:paraId="012890B9" w14:textId="77777777" w:rsidR="00784782" w:rsidRDefault="00784782">
      <w:pPr>
        <w:spacing w:line="500" w:lineRule="atLeast"/>
        <w:jc w:val="right"/>
        <w:divId w:val="469134274"/>
        <w:rPr>
          <w:rFonts w:hint="eastAsia"/>
          <w:sz w:val="30"/>
          <w:szCs w:val="30"/>
        </w:rPr>
      </w:pPr>
      <w:r>
        <w:rPr>
          <w:rFonts w:hint="eastAsia"/>
          <w:sz w:val="30"/>
          <w:szCs w:val="30"/>
        </w:rPr>
        <w:t>二〇一七年十月十九日</w:t>
      </w:r>
    </w:p>
    <w:p w14:paraId="0C44CA2C" w14:textId="77777777" w:rsidR="00784782" w:rsidRDefault="00784782">
      <w:pPr>
        <w:spacing w:line="500" w:lineRule="atLeast"/>
        <w:jc w:val="right"/>
        <w:divId w:val="502085460"/>
        <w:rPr>
          <w:rFonts w:hint="eastAsia"/>
          <w:sz w:val="30"/>
          <w:szCs w:val="30"/>
        </w:rPr>
      </w:pPr>
      <w:r>
        <w:rPr>
          <w:rFonts w:hint="eastAsia"/>
          <w:sz w:val="30"/>
          <w:szCs w:val="30"/>
        </w:rPr>
        <w:t>书　记　员　　张翠萍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10C60" w14:textId="77777777" w:rsidR="00784782" w:rsidRDefault="00784782" w:rsidP="00784782">
      <w:pPr>
        <w:rPr>
          <w:rFonts w:hint="eastAsia"/>
        </w:rPr>
      </w:pPr>
      <w:r>
        <w:separator/>
      </w:r>
    </w:p>
  </w:endnote>
  <w:endnote w:type="continuationSeparator" w:id="0">
    <w:p w14:paraId="00C60342" w14:textId="77777777" w:rsidR="00784782" w:rsidRDefault="00784782" w:rsidP="007847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D6518" w14:textId="77777777" w:rsidR="00784782" w:rsidRDefault="00784782" w:rsidP="00784782">
      <w:pPr>
        <w:rPr>
          <w:rFonts w:hint="eastAsia"/>
        </w:rPr>
      </w:pPr>
      <w:r>
        <w:separator/>
      </w:r>
    </w:p>
  </w:footnote>
  <w:footnote w:type="continuationSeparator" w:id="0">
    <w:p w14:paraId="6A0E1F23" w14:textId="77777777" w:rsidR="00784782" w:rsidRDefault="00784782" w:rsidP="007847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4782"/>
    <w:rsid w:val="002A784C"/>
    <w:rsid w:val="00784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B0DAA"/>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4782"/>
    <w:pPr>
      <w:tabs>
        <w:tab w:val="center" w:pos="4153"/>
        <w:tab w:val="right" w:pos="8306"/>
      </w:tabs>
      <w:snapToGrid w:val="0"/>
      <w:jc w:val="center"/>
    </w:pPr>
    <w:rPr>
      <w:sz w:val="18"/>
      <w:szCs w:val="18"/>
    </w:rPr>
  </w:style>
  <w:style w:type="character" w:customStyle="1" w:styleId="a4">
    <w:name w:val="页眉 字符"/>
    <w:basedOn w:val="a0"/>
    <w:link w:val="a3"/>
    <w:uiPriority w:val="99"/>
    <w:rsid w:val="00784782"/>
    <w:rPr>
      <w:rFonts w:ascii="宋体" w:eastAsia="宋体" w:hAnsi="宋体" w:cs="宋体"/>
      <w:sz w:val="18"/>
      <w:szCs w:val="18"/>
    </w:rPr>
  </w:style>
  <w:style w:type="paragraph" w:styleId="a5">
    <w:name w:val="footer"/>
    <w:basedOn w:val="a"/>
    <w:link w:val="a6"/>
    <w:uiPriority w:val="99"/>
    <w:unhideWhenUsed/>
    <w:rsid w:val="00784782"/>
    <w:pPr>
      <w:tabs>
        <w:tab w:val="center" w:pos="4153"/>
        <w:tab w:val="right" w:pos="8306"/>
      </w:tabs>
      <w:snapToGrid w:val="0"/>
    </w:pPr>
    <w:rPr>
      <w:sz w:val="18"/>
      <w:szCs w:val="18"/>
    </w:rPr>
  </w:style>
  <w:style w:type="character" w:customStyle="1" w:styleId="a6">
    <w:name w:val="页脚 字符"/>
    <w:basedOn w:val="a0"/>
    <w:link w:val="a5"/>
    <w:uiPriority w:val="99"/>
    <w:rsid w:val="007847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6679">
      <w:marLeft w:val="0"/>
      <w:marRight w:val="0"/>
      <w:marTop w:val="10"/>
      <w:marBottom w:val="10"/>
      <w:divBdr>
        <w:top w:val="none" w:sz="0" w:space="0" w:color="auto"/>
        <w:left w:val="none" w:sz="0" w:space="0" w:color="auto"/>
        <w:bottom w:val="none" w:sz="0" w:space="0" w:color="auto"/>
        <w:right w:val="none" w:sz="0" w:space="0" w:color="auto"/>
      </w:divBdr>
    </w:div>
    <w:div w:id="152455173">
      <w:marLeft w:val="0"/>
      <w:marRight w:val="0"/>
      <w:marTop w:val="10"/>
      <w:marBottom w:val="10"/>
      <w:divBdr>
        <w:top w:val="none" w:sz="0" w:space="0" w:color="auto"/>
        <w:left w:val="none" w:sz="0" w:space="0" w:color="auto"/>
        <w:bottom w:val="none" w:sz="0" w:space="0" w:color="auto"/>
        <w:right w:val="none" w:sz="0" w:space="0" w:color="auto"/>
      </w:divBdr>
    </w:div>
    <w:div w:id="225188828">
      <w:marLeft w:val="0"/>
      <w:marRight w:val="720"/>
      <w:marTop w:val="10"/>
      <w:marBottom w:val="10"/>
      <w:divBdr>
        <w:top w:val="none" w:sz="0" w:space="0" w:color="auto"/>
        <w:left w:val="none" w:sz="0" w:space="0" w:color="auto"/>
        <w:bottom w:val="none" w:sz="0" w:space="0" w:color="auto"/>
        <w:right w:val="none" w:sz="0" w:space="0" w:color="auto"/>
      </w:divBdr>
    </w:div>
    <w:div w:id="336079307">
      <w:marLeft w:val="0"/>
      <w:marRight w:val="0"/>
      <w:marTop w:val="10"/>
      <w:marBottom w:val="10"/>
      <w:divBdr>
        <w:top w:val="none" w:sz="0" w:space="0" w:color="auto"/>
        <w:left w:val="none" w:sz="0" w:space="0" w:color="auto"/>
        <w:bottom w:val="none" w:sz="0" w:space="0" w:color="auto"/>
        <w:right w:val="none" w:sz="0" w:space="0" w:color="auto"/>
      </w:divBdr>
    </w:div>
    <w:div w:id="413749012">
      <w:marLeft w:val="0"/>
      <w:marRight w:val="0"/>
      <w:marTop w:val="10"/>
      <w:marBottom w:val="10"/>
      <w:divBdr>
        <w:top w:val="none" w:sz="0" w:space="0" w:color="auto"/>
        <w:left w:val="none" w:sz="0" w:space="0" w:color="auto"/>
        <w:bottom w:val="none" w:sz="0" w:space="0" w:color="auto"/>
        <w:right w:val="none" w:sz="0" w:space="0" w:color="auto"/>
      </w:divBdr>
    </w:div>
    <w:div w:id="469134274">
      <w:marLeft w:val="0"/>
      <w:marRight w:val="720"/>
      <w:marTop w:val="10"/>
      <w:marBottom w:val="10"/>
      <w:divBdr>
        <w:top w:val="none" w:sz="0" w:space="0" w:color="auto"/>
        <w:left w:val="none" w:sz="0" w:space="0" w:color="auto"/>
        <w:bottom w:val="none" w:sz="0" w:space="0" w:color="auto"/>
        <w:right w:val="none" w:sz="0" w:space="0" w:color="auto"/>
      </w:divBdr>
    </w:div>
    <w:div w:id="502085460">
      <w:marLeft w:val="0"/>
      <w:marRight w:val="720"/>
      <w:marTop w:val="10"/>
      <w:marBottom w:val="10"/>
      <w:divBdr>
        <w:top w:val="none" w:sz="0" w:space="0" w:color="auto"/>
        <w:left w:val="none" w:sz="0" w:space="0" w:color="auto"/>
        <w:bottom w:val="none" w:sz="0" w:space="0" w:color="auto"/>
        <w:right w:val="none" w:sz="0" w:space="0" w:color="auto"/>
      </w:divBdr>
    </w:div>
    <w:div w:id="577634756">
      <w:marLeft w:val="0"/>
      <w:marRight w:val="0"/>
      <w:marTop w:val="10"/>
      <w:marBottom w:val="10"/>
      <w:divBdr>
        <w:top w:val="none" w:sz="0" w:space="0" w:color="auto"/>
        <w:left w:val="none" w:sz="0" w:space="0" w:color="auto"/>
        <w:bottom w:val="none" w:sz="0" w:space="0" w:color="auto"/>
        <w:right w:val="none" w:sz="0" w:space="0" w:color="auto"/>
      </w:divBdr>
    </w:div>
    <w:div w:id="790636380">
      <w:marLeft w:val="0"/>
      <w:marRight w:val="0"/>
      <w:marTop w:val="10"/>
      <w:marBottom w:val="10"/>
      <w:divBdr>
        <w:top w:val="none" w:sz="0" w:space="0" w:color="auto"/>
        <w:left w:val="none" w:sz="0" w:space="0" w:color="auto"/>
        <w:bottom w:val="none" w:sz="0" w:space="0" w:color="auto"/>
        <w:right w:val="none" w:sz="0" w:space="0" w:color="auto"/>
      </w:divBdr>
    </w:div>
    <w:div w:id="948203313">
      <w:marLeft w:val="0"/>
      <w:marRight w:val="0"/>
      <w:marTop w:val="10"/>
      <w:marBottom w:val="10"/>
      <w:divBdr>
        <w:top w:val="none" w:sz="0" w:space="0" w:color="auto"/>
        <w:left w:val="none" w:sz="0" w:space="0" w:color="auto"/>
        <w:bottom w:val="none" w:sz="0" w:space="0" w:color="auto"/>
        <w:right w:val="none" w:sz="0" w:space="0" w:color="auto"/>
      </w:divBdr>
    </w:div>
    <w:div w:id="1010064285">
      <w:marLeft w:val="0"/>
      <w:marRight w:val="0"/>
      <w:marTop w:val="10"/>
      <w:marBottom w:val="10"/>
      <w:divBdr>
        <w:top w:val="none" w:sz="0" w:space="0" w:color="auto"/>
        <w:left w:val="none" w:sz="0" w:space="0" w:color="auto"/>
        <w:bottom w:val="none" w:sz="0" w:space="0" w:color="auto"/>
        <w:right w:val="none" w:sz="0" w:space="0" w:color="auto"/>
      </w:divBdr>
    </w:div>
    <w:div w:id="1132215274">
      <w:marLeft w:val="0"/>
      <w:marRight w:val="0"/>
      <w:marTop w:val="10"/>
      <w:marBottom w:val="10"/>
      <w:divBdr>
        <w:top w:val="none" w:sz="0" w:space="0" w:color="auto"/>
        <w:left w:val="none" w:sz="0" w:space="0" w:color="auto"/>
        <w:bottom w:val="none" w:sz="0" w:space="0" w:color="auto"/>
        <w:right w:val="none" w:sz="0" w:space="0" w:color="auto"/>
      </w:divBdr>
    </w:div>
    <w:div w:id="1202013636">
      <w:marLeft w:val="0"/>
      <w:marRight w:val="0"/>
      <w:marTop w:val="10"/>
      <w:marBottom w:val="10"/>
      <w:divBdr>
        <w:top w:val="none" w:sz="0" w:space="0" w:color="auto"/>
        <w:left w:val="none" w:sz="0" w:space="0" w:color="auto"/>
        <w:bottom w:val="none" w:sz="0" w:space="0" w:color="auto"/>
        <w:right w:val="none" w:sz="0" w:space="0" w:color="auto"/>
      </w:divBdr>
    </w:div>
    <w:div w:id="1226453158">
      <w:marLeft w:val="0"/>
      <w:marRight w:val="0"/>
      <w:marTop w:val="10"/>
      <w:marBottom w:val="10"/>
      <w:divBdr>
        <w:top w:val="none" w:sz="0" w:space="0" w:color="auto"/>
        <w:left w:val="none" w:sz="0" w:space="0" w:color="auto"/>
        <w:bottom w:val="none" w:sz="0" w:space="0" w:color="auto"/>
        <w:right w:val="none" w:sz="0" w:space="0" w:color="auto"/>
      </w:divBdr>
    </w:div>
    <w:div w:id="1315136033">
      <w:marLeft w:val="0"/>
      <w:marRight w:val="0"/>
      <w:marTop w:val="10"/>
      <w:marBottom w:val="10"/>
      <w:divBdr>
        <w:top w:val="none" w:sz="0" w:space="0" w:color="auto"/>
        <w:left w:val="none" w:sz="0" w:space="0" w:color="auto"/>
        <w:bottom w:val="none" w:sz="0" w:space="0" w:color="auto"/>
        <w:right w:val="none" w:sz="0" w:space="0" w:color="auto"/>
      </w:divBdr>
    </w:div>
    <w:div w:id="1404990393">
      <w:marLeft w:val="0"/>
      <w:marRight w:val="0"/>
      <w:marTop w:val="10"/>
      <w:marBottom w:val="10"/>
      <w:divBdr>
        <w:top w:val="none" w:sz="0" w:space="0" w:color="auto"/>
        <w:left w:val="none" w:sz="0" w:space="0" w:color="auto"/>
        <w:bottom w:val="none" w:sz="0" w:space="0" w:color="auto"/>
        <w:right w:val="none" w:sz="0" w:space="0" w:color="auto"/>
      </w:divBdr>
    </w:div>
    <w:div w:id="1409306490">
      <w:marLeft w:val="0"/>
      <w:marRight w:val="720"/>
      <w:marTop w:val="10"/>
      <w:marBottom w:val="10"/>
      <w:divBdr>
        <w:top w:val="none" w:sz="0" w:space="0" w:color="auto"/>
        <w:left w:val="none" w:sz="0" w:space="0" w:color="auto"/>
        <w:bottom w:val="none" w:sz="0" w:space="0" w:color="auto"/>
        <w:right w:val="none" w:sz="0" w:space="0" w:color="auto"/>
      </w:divBdr>
    </w:div>
    <w:div w:id="1453745388">
      <w:marLeft w:val="0"/>
      <w:marRight w:val="720"/>
      <w:marTop w:val="10"/>
      <w:marBottom w:val="10"/>
      <w:divBdr>
        <w:top w:val="none" w:sz="0" w:space="0" w:color="auto"/>
        <w:left w:val="none" w:sz="0" w:space="0" w:color="auto"/>
        <w:bottom w:val="none" w:sz="0" w:space="0" w:color="auto"/>
        <w:right w:val="none" w:sz="0" w:space="0" w:color="auto"/>
      </w:divBdr>
    </w:div>
    <w:div w:id="1554997998">
      <w:marLeft w:val="0"/>
      <w:marRight w:val="0"/>
      <w:marTop w:val="10"/>
      <w:marBottom w:val="10"/>
      <w:divBdr>
        <w:top w:val="none" w:sz="0" w:space="0" w:color="auto"/>
        <w:left w:val="none" w:sz="0" w:space="0" w:color="auto"/>
        <w:bottom w:val="none" w:sz="0" w:space="0" w:color="auto"/>
        <w:right w:val="none" w:sz="0" w:space="0" w:color="auto"/>
      </w:divBdr>
    </w:div>
    <w:div w:id="1693069551">
      <w:marLeft w:val="0"/>
      <w:marRight w:val="0"/>
      <w:marTop w:val="10"/>
      <w:marBottom w:val="10"/>
      <w:divBdr>
        <w:top w:val="none" w:sz="0" w:space="0" w:color="auto"/>
        <w:left w:val="none" w:sz="0" w:space="0" w:color="auto"/>
        <w:bottom w:val="none" w:sz="0" w:space="0" w:color="auto"/>
        <w:right w:val="none" w:sz="0" w:space="0" w:color="auto"/>
      </w:divBdr>
    </w:div>
    <w:div w:id="1894198719">
      <w:marLeft w:val="0"/>
      <w:marRight w:val="0"/>
      <w:marTop w:val="10"/>
      <w:marBottom w:val="10"/>
      <w:divBdr>
        <w:top w:val="none" w:sz="0" w:space="0" w:color="auto"/>
        <w:left w:val="none" w:sz="0" w:space="0" w:color="auto"/>
        <w:bottom w:val="none" w:sz="0" w:space="0" w:color="auto"/>
        <w:right w:val="none" w:sz="0" w:space="0" w:color="auto"/>
      </w:divBdr>
    </w:div>
    <w:div w:id="2049866712">
      <w:marLeft w:val="0"/>
      <w:marRight w:val="0"/>
      <w:marTop w:val="10"/>
      <w:marBottom w:val="10"/>
      <w:divBdr>
        <w:top w:val="none" w:sz="0" w:space="0" w:color="auto"/>
        <w:left w:val="none" w:sz="0" w:space="0" w:color="auto"/>
        <w:bottom w:val="none" w:sz="0" w:space="0" w:color="auto"/>
        <w:right w:val="none" w:sz="0" w:space="0" w:color="auto"/>
      </w:divBdr>
    </w:div>
    <w:div w:id="20759345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1248</Characters>
  <Application>Microsoft Office Word</Application>
  <DocSecurity>0</DocSecurity>
  <Lines>10</Lines>
  <Paragraphs>2</Paragraphs>
  <ScaleCrop>false</ScaleCrop>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