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50948" w14:textId="77777777" w:rsidR="00EE1715" w:rsidRDefault="00EE1715">
      <w:pPr>
        <w:spacing w:line="500" w:lineRule="atLeast"/>
        <w:jc w:val="center"/>
        <w:divId w:val="1195928414"/>
        <w:rPr>
          <w:rFonts w:ascii="黑体" w:eastAsia="黑体" w:hAnsi="黑体"/>
          <w:sz w:val="36"/>
          <w:szCs w:val="36"/>
        </w:rPr>
      </w:pPr>
      <w:r>
        <w:rPr>
          <w:rFonts w:ascii="黑体" w:eastAsia="黑体" w:hAnsi="黑体" w:hint="eastAsia"/>
          <w:sz w:val="36"/>
          <w:szCs w:val="36"/>
        </w:rPr>
        <w:t>广东省韶关市浈江区人民法院</w:t>
      </w:r>
    </w:p>
    <w:p w14:paraId="4E920385" w14:textId="77777777" w:rsidR="00EE1715" w:rsidRDefault="00EE1715">
      <w:pPr>
        <w:spacing w:line="500" w:lineRule="atLeast"/>
        <w:jc w:val="center"/>
        <w:divId w:val="7725515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29DE29A" w14:textId="77777777" w:rsidR="00EE1715" w:rsidRDefault="00EE1715">
      <w:pPr>
        <w:spacing w:line="500" w:lineRule="atLeast"/>
        <w:jc w:val="right"/>
        <w:divId w:val="15056693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0204</w:t>
      </w:r>
      <w:r>
        <w:rPr>
          <w:rFonts w:hint="eastAsia"/>
          <w:sz w:val="30"/>
          <w:szCs w:val="30"/>
        </w:rPr>
        <w:t>刑初</w:t>
      </w:r>
      <w:r>
        <w:rPr>
          <w:rFonts w:hint="eastAsia"/>
          <w:sz w:val="30"/>
          <w:szCs w:val="30"/>
        </w:rPr>
        <w:t>259</w:t>
      </w:r>
      <w:r>
        <w:rPr>
          <w:rFonts w:hint="eastAsia"/>
          <w:sz w:val="30"/>
          <w:szCs w:val="30"/>
        </w:rPr>
        <w:t>号</w:t>
      </w:r>
    </w:p>
    <w:p w14:paraId="0E0B0D42" w14:textId="77777777" w:rsidR="00EE1715" w:rsidRDefault="00EE1715">
      <w:pPr>
        <w:spacing w:line="500" w:lineRule="atLeast"/>
        <w:ind w:firstLine="600"/>
        <w:divId w:val="2048212434"/>
        <w:rPr>
          <w:rFonts w:hint="eastAsia"/>
          <w:sz w:val="30"/>
          <w:szCs w:val="30"/>
        </w:rPr>
      </w:pPr>
      <w:r>
        <w:rPr>
          <w:rFonts w:hint="eastAsia"/>
          <w:sz w:val="30"/>
          <w:szCs w:val="30"/>
        </w:rPr>
        <w:t>公诉机关韶关市浈江区人民检察院。</w:t>
      </w:r>
    </w:p>
    <w:p w14:paraId="59085240" w14:textId="77777777" w:rsidR="00EE1715" w:rsidRDefault="00EE1715">
      <w:pPr>
        <w:spacing w:line="500" w:lineRule="atLeast"/>
        <w:ind w:firstLine="600"/>
        <w:divId w:val="1318268460"/>
        <w:rPr>
          <w:rFonts w:hint="eastAsia"/>
          <w:sz w:val="30"/>
          <w:szCs w:val="30"/>
        </w:rPr>
      </w:pPr>
      <w:r>
        <w:rPr>
          <w:rFonts w:hint="eastAsia"/>
          <w:sz w:val="30"/>
          <w:szCs w:val="30"/>
        </w:rPr>
        <w:t>被告人何聪，男，</w:t>
      </w:r>
      <w:r>
        <w:rPr>
          <w:rFonts w:hint="eastAsia"/>
          <w:sz w:val="30"/>
          <w:szCs w:val="30"/>
        </w:rPr>
        <w:t>1986</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日出生，汉族，高中文化，中共党员，个体户，户籍地广东省海丰县，现住广东省韶关市浈江区。</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日因涉嫌犯洗钱罪被刑事拘留，同年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日因涉嫌犯介绍贿赂罪被逮捕，现羁押于韶关市看守所。</w:t>
      </w:r>
    </w:p>
    <w:p w14:paraId="2F4840B6" w14:textId="77777777" w:rsidR="00EE1715" w:rsidRDefault="00EE1715">
      <w:pPr>
        <w:spacing w:line="500" w:lineRule="atLeast"/>
        <w:ind w:firstLine="600"/>
        <w:divId w:val="1922979253"/>
        <w:rPr>
          <w:rFonts w:hint="eastAsia"/>
          <w:sz w:val="30"/>
          <w:szCs w:val="30"/>
        </w:rPr>
      </w:pPr>
      <w:r>
        <w:rPr>
          <w:rFonts w:hint="eastAsia"/>
          <w:sz w:val="30"/>
          <w:szCs w:val="30"/>
        </w:rPr>
        <w:t>辩护人吴伟强，广东众同信律师事务所律师。</w:t>
      </w:r>
    </w:p>
    <w:p w14:paraId="01E74955" w14:textId="77777777" w:rsidR="00EE1715" w:rsidRDefault="00EE1715">
      <w:pPr>
        <w:spacing w:line="500" w:lineRule="atLeast"/>
        <w:ind w:firstLine="600"/>
        <w:divId w:val="408617466"/>
        <w:rPr>
          <w:rFonts w:hint="eastAsia"/>
          <w:sz w:val="30"/>
          <w:szCs w:val="30"/>
        </w:rPr>
      </w:pPr>
      <w:r>
        <w:rPr>
          <w:rFonts w:hint="eastAsia"/>
          <w:sz w:val="30"/>
          <w:szCs w:val="30"/>
        </w:rPr>
        <w:t>韶关市浈江区人民检察院以浈检诉刑诉〔</w:t>
      </w:r>
      <w:r>
        <w:rPr>
          <w:rFonts w:hint="eastAsia"/>
          <w:sz w:val="30"/>
          <w:szCs w:val="30"/>
        </w:rPr>
        <w:t>2018</w:t>
      </w:r>
      <w:r>
        <w:rPr>
          <w:rFonts w:hint="eastAsia"/>
          <w:sz w:val="30"/>
          <w:szCs w:val="30"/>
        </w:rPr>
        <w:t>〕</w:t>
      </w:r>
      <w:r>
        <w:rPr>
          <w:rFonts w:hint="eastAsia"/>
          <w:sz w:val="30"/>
          <w:szCs w:val="30"/>
        </w:rPr>
        <w:t>240</w:t>
      </w:r>
      <w:r>
        <w:rPr>
          <w:rFonts w:hint="eastAsia"/>
          <w:sz w:val="30"/>
          <w:szCs w:val="30"/>
        </w:rPr>
        <w:t>号起诉书，指控被告人何聪犯介绍贿赂罪，于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向本院提起公诉，经本院审查于同日立案，依法适用简易程序，实行独任审判，公开开庭进行了审理。韶关市浈江区人民检察院指派检察员曹恒出庭支持公诉，被告人何聪及辩护人吴伟强到庭参加诉讼。本案现已审理终结。</w:t>
      </w:r>
    </w:p>
    <w:p w14:paraId="20F4F2BC" w14:textId="77777777" w:rsidR="00EE1715" w:rsidRDefault="00EE1715">
      <w:pPr>
        <w:spacing w:line="500" w:lineRule="atLeast"/>
        <w:ind w:firstLine="600"/>
        <w:divId w:val="1623799980"/>
        <w:rPr>
          <w:rFonts w:hint="eastAsia"/>
          <w:sz w:val="30"/>
          <w:szCs w:val="30"/>
        </w:rPr>
      </w:pPr>
      <w:r>
        <w:rPr>
          <w:rFonts w:hint="eastAsia"/>
          <w:sz w:val="30"/>
          <w:szCs w:val="30"/>
        </w:rPr>
        <w:t>公诉机关指控：</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月，个体老板邹某</w:t>
      </w:r>
      <w:r>
        <w:rPr>
          <w:rFonts w:hint="eastAsia"/>
          <w:sz w:val="30"/>
          <w:szCs w:val="30"/>
        </w:rPr>
        <w:t>2</w:t>
      </w:r>
      <w:r>
        <w:rPr>
          <w:rFonts w:hint="eastAsia"/>
          <w:sz w:val="30"/>
          <w:szCs w:val="30"/>
        </w:rPr>
        <w:t>、邹某</w:t>
      </w:r>
      <w:r>
        <w:rPr>
          <w:rFonts w:hint="eastAsia"/>
          <w:sz w:val="30"/>
          <w:szCs w:val="30"/>
        </w:rPr>
        <w:t>1</w:t>
      </w:r>
      <w:r>
        <w:rPr>
          <w:rFonts w:hint="eastAsia"/>
          <w:sz w:val="30"/>
          <w:szCs w:val="30"/>
        </w:rPr>
        <w:t>等人为进入韶关市区各农贸市场承包市场内所有豆制品档经营权</w:t>
      </w:r>
      <w:r>
        <w:rPr>
          <w:rFonts w:hint="eastAsia"/>
          <w:sz w:val="30"/>
          <w:szCs w:val="30"/>
        </w:rPr>
        <w:t>,</w:t>
      </w:r>
      <w:r>
        <w:rPr>
          <w:rFonts w:hint="eastAsia"/>
          <w:sz w:val="30"/>
          <w:szCs w:val="30"/>
        </w:rPr>
        <w:t>找到被告人何聪请求帮忙找关系。何聪遂找王某（已判刑）帮忙，王丽君则找到时任韶关市工商局工业园区分局梨园工商所监管执法组组长符某（已判刑）帮忙，后符某找到时任韶关市工商行政管理局粤北工业开发区分局副局长潘某（已判刑），并将请托事项告知潘某。最终由潘某利用其作为副局长的职务之便，向其辖区内的长乐市场、沙梨园市场等农贸市场的负责人打招呼，帮助邹某</w:t>
      </w:r>
      <w:r>
        <w:rPr>
          <w:rFonts w:hint="eastAsia"/>
          <w:sz w:val="30"/>
          <w:szCs w:val="30"/>
        </w:rPr>
        <w:t>2</w:t>
      </w:r>
      <w:r>
        <w:rPr>
          <w:rFonts w:hint="eastAsia"/>
          <w:sz w:val="30"/>
          <w:szCs w:val="30"/>
        </w:rPr>
        <w:t>、邹某</w:t>
      </w:r>
      <w:r>
        <w:rPr>
          <w:rFonts w:hint="eastAsia"/>
          <w:sz w:val="30"/>
          <w:szCs w:val="30"/>
        </w:rPr>
        <w:t>1</w:t>
      </w:r>
      <w:r>
        <w:rPr>
          <w:rFonts w:hint="eastAsia"/>
          <w:sz w:val="30"/>
          <w:szCs w:val="30"/>
        </w:rPr>
        <w:t>等人承包豆制品档经营权。期间，邹某</w:t>
      </w:r>
      <w:r>
        <w:rPr>
          <w:rFonts w:hint="eastAsia"/>
          <w:sz w:val="30"/>
          <w:szCs w:val="30"/>
        </w:rPr>
        <w:t>2</w:t>
      </w:r>
      <w:r>
        <w:rPr>
          <w:rFonts w:hint="eastAsia"/>
          <w:sz w:val="30"/>
          <w:szCs w:val="30"/>
        </w:rPr>
        <w:t>通过银行转账人民币</w:t>
      </w:r>
      <w:r>
        <w:rPr>
          <w:rFonts w:hint="eastAsia"/>
          <w:sz w:val="30"/>
          <w:szCs w:val="30"/>
        </w:rPr>
        <w:t>28</w:t>
      </w:r>
      <w:r>
        <w:rPr>
          <w:rFonts w:hint="eastAsia"/>
          <w:sz w:val="30"/>
          <w:szCs w:val="30"/>
        </w:rPr>
        <w:t>万元给何聪，何聪将其中</w:t>
      </w:r>
      <w:r>
        <w:rPr>
          <w:rFonts w:hint="eastAsia"/>
          <w:sz w:val="30"/>
          <w:szCs w:val="30"/>
        </w:rPr>
        <w:lastRenderedPageBreak/>
        <w:t>27</w:t>
      </w:r>
      <w:r>
        <w:rPr>
          <w:rFonts w:hint="eastAsia"/>
          <w:sz w:val="30"/>
          <w:szCs w:val="30"/>
        </w:rPr>
        <w:t>万元转账给王某；王某将其中</w:t>
      </w:r>
      <w:r>
        <w:rPr>
          <w:rFonts w:hint="eastAsia"/>
          <w:sz w:val="30"/>
          <w:szCs w:val="30"/>
        </w:rPr>
        <w:t>18</w:t>
      </w:r>
      <w:r>
        <w:rPr>
          <w:rFonts w:hint="eastAsia"/>
          <w:sz w:val="30"/>
          <w:szCs w:val="30"/>
        </w:rPr>
        <w:t>万元转账送给符某，自得</w:t>
      </w:r>
      <w:r>
        <w:rPr>
          <w:rFonts w:hint="eastAsia"/>
          <w:sz w:val="30"/>
          <w:szCs w:val="30"/>
        </w:rPr>
        <w:t>9</w:t>
      </w:r>
      <w:r>
        <w:rPr>
          <w:rFonts w:hint="eastAsia"/>
          <w:sz w:val="30"/>
          <w:szCs w:val="30"/>
        </w:rPr>
        <w:t>万元；符某将其中</w:t>
      </w:r>
      <w:r>
        <w:rPr>
          <w:rFonts w:hint="eastAsia"/>
          <w:sz w:val="30"/>
          <w:szCs w:val="30"/>
        </w:rPr>
        <w:t>10</w:t>
      </w:r>
      <w:r>
        <w:rPr>
          <w:rFonts w:hint="eastAsia"/>
          <w:sz w:val="30"/>
          <w:szCs w:val="30"/>
        </w:rPr>
        <w:t>万元转送给潘某，自得</w:t>
      </w:r>
      <w:r>
        <w:rPr>
          <w:rFonts w:hint="eastAsia"/>
          <w:sz w:val="30"/>
          <w:szCs w:val="30"/>
        </w:rPr>
        <w:t>8</w:t>
      </w:r>
      <w:r>
        <w:rPr>
          <w:rFonts w:hint="eastAsia"/>
          <w:sz w:val="30"/>
          <w:szCs w:val="30"/>
        </w:rPr>
        <w:t>万元。</w:t>
      </w:r>
    </w:p>
    <w:p w14:paraId="7010DA42" w14:textId="77777777" w:rsidR="00EE1715" w:rsidRDefault="00EE1715">
      <w:pPr>
        <w:spacing w:line="500" w:lineRule="atLeast"/>
        <w:ind w:firstLine="600"/>
        <w:divId w:val="1238830525"/>
        <w:rPr>
          <w:rFonts w:hint="eastAsia"/>
          <w:sz w:val="30"/>
          <w:szCs w:val="30"/>
        </w:rPr>
      </w:pPr>
      <w:r>
        <w:rPr>
          <w:rFonts w:hint="eastAsia"/>
          <w:sz w:val="30"/>
          <w:szCs w:val="30"/>
        </w:rPr>
        <w:t>经审理另查明：在本案审理期间，被告人何聪通过其亲属向本院退缴赃款人民币</w:t>
      </w:r>
      <w:r>
        <w:rPr>
          <w:rFonts w:hint="eastAsia"/>
          <w:sz w:val="30"/>
          <w:szCs w:val="30"/>
        </w:rPr>
        <w:t>1</w:t>
      </w:r>
      <w:r>
        <w:rPr>
          <w:rFonts w:hint="eastAsia"/>
          <w:sz w:val="30"/>
          <w:szCs w:val="30"/>
        </w:rPr>
        <w:t>万元。</w:t>
      </w:r>
    </w:p>
    <w:p w14:paraId="5191FD27" w14:textId="77777777" w:rsidR="00EE1715" w:rsidRDefault="00EE1715">
      <w:pPr>
        <w:spacing w:line="500" w:lineRule="atLeast"/>
        <w:ind w:firstLine="600"/>
        <w:divId w:val="342321576"/>
        <w:rPr>
          <w:rFonts w:hint="eastAsia"/>
          <w:sz w:val="30"/>
          <w:szCs w:val="30"/>
        </w:rPr>
      </w:pPr>
      <w:r>
        <w:rPr>
          <w:rFonts w:hint="eastAsia"/>
          <w:sz w:val="30"/>
          <w:szCs w:val="30"/>
        </w:rPr>
        <w:t>被告人何聪对公诉机关指控的罪名和事实均无异议并自愿认罪。</w:t>
      </w:r>
    </w:p>
    <w:p w14:paraId="68A99FA6" w14:textId="77777777" w:rsidR="00EE1715" w:rsidRDefault="00EE1715">
      <w:pPr>
        <w:spacing w:line="500" w:lineRule="atLeast"/>
        <w:ind w:firstLine="600"/>
        <w:divId w:val="7411242"/>
        <w:rPr>
          <w:rFonts w:hint="eastAsia"/>
          <w:sz w:val="30"/>
          <w:szCs w:val="30"/>
        </w:rPr>
      </w:pPr>
      <w:r>
        <w:rPr>
          <w:rFonts w:hint="eastAsia"/>
          <w:sz w:val="30"/>
          <w:szCs w:val="30"/>
        </w:rPr>
        <w:t>辩护人提出如下辩护意见：被告人何聪有自首情节；当庭自然认罪，有悔罪表现；积极退赃，希望法庭给予被告人适用缓刑。</w:t>
      </w:r>
    </w:p>
    <w:p w14:paraId="4E5EA561" w14:textId="77777777" w:rsidR="00EE1715" w:rsidRDefault="00EE1715">
      <w:pPr>
        <w:spacing w:line="500" w:lineRule="atLeast"/>
        <w:ind w:firstLine="600"/>
        <w:divId w:val="1787314182"/>
        <w:rPr>
          <w:rFonts w:hint="eastAsia"/>
          <w:sz w:val="30"/>
          <w:szCs w:val="30"/>
        </w:rPr>
      </w:pPr>
      <w:r>
        <w:rPr>
          <w:rFonts w:hint="eastAsia"/>
          <w:sz w:val="30"/>
          <w:szCs w:val="30"/>
        </w:rPr>
        <w:t>上述指控及另查明的犯罪事实，有公诉机关提交并经法庭出示、质证、认证的案件线索移送函、立案决定书、户籍信息、无犯罪记录证明、归案经过、潘伟雄的干部履历表、干部任免审批表、韶关市工商行政管理局任职文件、韶关市农贸市场豆腐档口承包委托协议书、市场档位出租合同、韶关市工商局工业园区分局辖区内农贸市场情况说明、浈江区利衡豆制品加工厂营业执照、食品生产加工小作坊登记证申请材料、符某、潘某、王某、何聪、邹某</w:t>
      </w:r>
      <w:r>
        <w:rPr>
          <w:rFonts w:hint="eastAsia"/>
          <w:sz w:val="30"/>
          <w:szCs w:val="30"/>
        </w:rPr>
        <w:t>2</w:t>
      </w:r>
      <w:r>
        <w:rPr>
          <w:rFonts w:hint="eastAsia"/>
          <w:sz w:val="30"/>
          <w:szCs w:val="30"/>
        </w:rPr>
        <w:t>等人的银行账户交易明细及凭证、潘某、符某、王某一审刑事判决书、二审刑事裁定书、证人邹某</w:t>
      </w:r>
      <w:r>
        <w:rPr>
          <w:rFonts w:hint="eastAsia"/>
          <w:sz w:val="30"/>
          <w:szCs w:val="30"/>
        </w:rPr>
        <w:t>1</w:t>
      </w:r>
      <w:r>
        <w:rPr>
          <w:rFonts w:hint="eastAsia"/>
          <w:sz w:val="30"/>
          <w:szCs w:val="30"/>
        </w:rPr>
        <w:t>、邹某</w:t>
      </w:r>
      <w:r>
        <w:rPr>
          <w:rFonts w:hint="eastAsia"/>
          <w:sz w:val="30"/>
          <w:szCs w:val="30"/>
        </w:rPr>
        <w:t>2</w:t>
      </w:r>
      <w:r>
        <w:rPr>
          <w:rFonts w:hint="eastAsia"/>
          <w:sz w:val="30"/>
          <w:szCs w:val="30"/>
        </w:rPr>
        <w:t>、黄某、林某、文某、姜某、邹某</w:t>
      </w:r>
      <w:r>
        <w:rPr>
          <w:rFonts w:hint="eastAsia"/>
          <w:sz w:val="30"/>
          <w:szCs w:val="30"/>
        </w:rPr>
        <w:t>3</w:t>
      </w:r>
      <w:r>
        <w:rPr>
          <w:rFonts w:hint="eastAsia"/>
          <w:sz w:val="30"/>
          <w:szCs w:val="30"/>
        </w:rPr>
        <w:t>的证言、同某、符某、潘某供述和辩解、被告人何聪的供述和辩解等证据证实，足以认定。</w:t>
      </w:r>
    </w:p>
    <w:p w14:paraId="1FFB60AB" w14:textId="77777777" w:rsidR="00EE1715" w:rsidRDefault="00EE1715">
      <w:pPr>
        <w:spacing w:line="500" w:lineRule="atLeast"/>
        <w:ind w:firstLine="600"/>
        <w:divId w:val="1140923033"/>
        <w:rPr>
          <w:rFonts w:hint="eastAsia"/>
          <w:sz w:val="30"/>
          <w:szCs w:val="30"/>
        </w:rPr>
      </w:pPr>
      <w:r>
        <w:rPr>
          <w:rFonts w:hint="eastAsia"/>
          <w:sz w:val="30"/>
          <w:szCs w:val="30"/>
        </w:rPr>
        <w:t>本院认为，被告人何聪向国家工作人员介绍贿赂，情节严重，其行为已构成介绍贿赂罪，公诉机关的指控，事实清楚、证据确实充分，罪名成立，本院予以认定。辩护人提出的何聪具有自首情节的辩护意见，依据不足，本院不予采纳。鉴于被告人何聪归案后能如实供述犯罪事实并自愿认罪并退缴所得赃款，有悔罪表现，本院依法对其从轻处罚并适用缓刑，对辩护人的辩护意见，本院予以采纳。依照《中华人民共和国刑法》第三百九十二条、第五十二条、第五十三条、第六十七条第三款、第七十二条、第七十三条第二款、第三款、《最高人民法院、最高人民检察院关于办理贪污、贿赂刑事案件适用法律若干问题的解释》第十九条第二款的规定，判决如下：</w:t>
      </w:r>
    </w:p>
    <w:p w14:paraId="09B83F37" w14:textId="77777777" w:rsidR="00EE1715" w:rsidRDefault="00EE1715">
      <w:pPr>
        <w:spacing w:line="500" w:lineRule="atLeast"/>
        <w:ind w:firstLine="600"/>
        <w:divId w:val="1805275813"/>
        <w:rPr>
          <w:rFonts w:hint="eastAsia"/>
          <w:sz w:val="30"/>
          <w:szCs w:val="30"/>
        </w:rPr>
      </w:pPr>
      <w:r>
        <w:rPr>
          <w:rFonts w:hint="eastAsia"/>
          <w:sz w:val="30"/>
          <w:szCs w:val="30"/>
        </w:rPr>
        <w:t>被告人何聪犯介绍贿赂罪，判处有期徒刑七个月，缓刑一年，并处罚金人民币十万元。</w:t>
      </w:r>
    </w:p>
    <w:p w14:paraId="7C5DD234" w14:textId="77777777" w:rsidR="00EE1715" w:rsidRDefault="00EE1715">
      <w:pPr>
        <w:spacing w:line="500" w:lineRule="atLeast"/>
        <w:ind w:firstLine="600"/>
        <w:divId w:val="538785514"/>
        <w:rPr>
          <w:rFonts w:hint="eastAsia"/>
          <w:sz w:val="30"/>
          <w:szCs w:val="30"/>
        </w:rPr>
      </w:pPr>
      <w:r>
        <w:rPr>
          <w:rFonts w:hint="eastAsia"/>
          <w:sz w:val="30"/>
          <w:szCs w:val="30"/>
        </w:rPr>
        <w:t>缓刑考验期限，从判决确定之日起计算。罚金限于本判决发生法律效力之日起十日内向本院缴交，上缴国库。</w:t>
      </w:r>
    </w:p>
    <w:p w14:paraId="3656220E" w14:textId="77777777" w:rsidR="00EE1715" w:rsidRDefault="00EE1715">
      <w:pPr>
        <w:spacing w:line="500" w:lineRule="atLeast"/>
        <w:ind w:firstLine="600"/>
        <w:divId w:val="1347177044"/>
        <w:rPr>
          <w:rFonts w:hint="eastAsia"/>
          <w:sz w:val="30"/>
          <w:szCs w:val="30"/>
        </w:rPr>
      </w:pPr>
      <w:r>
        <w:rPr>
          <w:rFonts w:hint="eastAsia"/>
          <w:sz w:val="30"/>
          <w:szCs w:val="30"/>
        </w:rPr>
        <w:t>如不服本判决，可于接到本判决书的第二日起十日内，通过本院或直接向韶关市中级人民法院提出上诉。书面上诉的，应提交上诉状正本一份、副本二份。</w:t>
      </w:r>
    </w:p>
    <w:p w14:paraId="21655505" w14:textId="77777777" w:rsidR="00EE1715" w:rsidRDefault="00EE1715">
      <w:pPr>
        <w:spacing w:line="500" w:lineRule="atLeast"/>
        <w:jc w:val="right"/>
        <w:divId w:val="176309360"/>
        <w:rPr>
          <w:rFonts w:hint="eastAsia"/>
          <w:sz w:val="30"/>
          <w:szCs w:val="30"/>
        </w:rPr>
      </w:pPr>
      <w:r>
        <w:rPr>
          <w:rFonts w:hint="eastAsia"/>
          <w:sz w:val="30"/>
          <w:szCs w:val="30"/>
        </w:rPr>
        <w:t>审判员　　杨新</w:t>
      </w:r>
    </w:p>
    <w:p w14:paraId="477B63CD" w14:textId="77777777" w:rsidR="00EE1715" w:rsidRDefault="00EE1715">
      <w:pPr>
        <w:spacing w:line="500" w:lineRule="atLeast"/>
        <w:jc w:val="right"/>
        <w:divId w:val="172307350"/>
        <w:rPr>
          <w:rFonts w:hint="eastAsia"/>
          <w:sz w:val="30"/>
          <w:szCs w:val="30"/>
        </w:rPr>
      </w:pPr>
      <w:r>
        <w:rPr>
          <w:rFonts w:hint="eastAsia"/>
          <w:sz w:val="30"/>
          <w:szCs w:val="30"/>
        </w:rPr>
        <w:t>二〇一八年十一月三十日</w:t>
      </w:r>
    </w:p>
    <w:p w14:paraId="63B09825" w14:textId="77777777" w:rsidR="00EE1715" w:rsidRDefault="00EE1715">
      <w:pPr>
        <w:spacing w:line="500" w:lineRule="atLeast"/>
        <w:jc w:val="right"/>
        <w:divId w:val="593979946"/>
        <w:rPr>
          <w:rFonts w:hint="eastAsia"/>
          <w:sz w:val="30"/>
          <w:szCs w:val="30"/>
        </w:rPr>
      </w:pPr>
      <w:r>
        <w:rPr>
          <w:rFonts w:hint="eastAsia"/>
          <w:sz w:val="30"/>
          <w:szCs w:val="30"/>
        </w:rPr>
        <w:t>书记员　　谢菲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E0FA5" w14:textId="77777777" w:rsidR="00EE1715" w:rsidRDefault="00EE1715" w:rsidP="00EE1715">
      <w:pPr>
        <w:rPr>
          <w:rFonts w:hint="eastAsia"/>
        </w:rPr>
      </w:pPr>
      <w:r>
        <w:separator/>
      </w:r>
    </w:p>
  </w:endnote>
  <w:endnote w:type="continuationSeparator" w:id="0">
    <w:p w14:paraId="58993B94" w14:textId="77777777" w:rsidR="00EE1715" w:rsidRDefault="00EE1715" w:rsidP="00EE171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6530A" w14:textId="77777777" w:rsidR="00EE1715" w:rsidRDefault="00EE1715" w:rsidP="00EE1715">
      <w:pPr>
        <w:rPr>
          <w:rFonts w:hint="eastAsia"/>
        </w:rPr>
      </w:pPr>
      <w:r>
        <w:separator/>
      </w:r>
    </w:p>
  </w:footnote>
  <w:footnote w:type="continuationSeparator" w:id="0">
    <w:p w14:paraId="7D1A2C11" w14:textId="77777777" w:rsidR="00EE1715" w:rsidRDefault="00EE1715" w:rsidP="00EE171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1715"/>
    <w:rsid w:val="002A784C"/>
    <w:rsid w:val="00EE17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2434D0"/>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E1715"/>
    <w:pPr>
      <w:tabs>
        <w:tab w:val="center" w:pos="4153"/>
        <w:tab w:val="right" w:pos="8306"/>
      </w:tabs>
      <w:snapToGrid w:val="0"/>
      <w:jc w:val="center"/>
    </w:pPr>
    <w:rPr>
      <w:sz w:val="18"/>
      <w:szCs w:val="18"/>
    </w:rPr>
  </w:style>
  <w:style w:type="character" w:customStyle="1" w:styleId="a4">
    <w:name w:val="页眉 字符"/>
    <w:basedOn w:val="a0"/>
    <w:link w:val="a3"/>
    <w:uiPriority w:val="99"/>
    <w:rsid w:val="00EE1715"/>
    <w:rPr>
      <w:rFonts w:ascii="宋体" w:eastAsia="宋体" w:hAnsi="宋体" w:cs="宋体"/>
      <w:sz w:val="18"/>
      <w:szCs w:val="18"/>
    </w:rPr>
  </w:style>
  <w:style w:type="paragraph" w:styleId="a5">
    <w:name w:val="footer"/>
    <w:basedOn w:val="a"/>
    <w:link w:val="a6"/>
    <w:uiPriority w:val="99"/>
    <w:unhideWhenUsed/>
    <w:rsid w:val="00EE1715"/>
    <w:pPr>
      <w:tabs>
        <w:tab w:val="center" w:pos="4153"/>
        <w:tab w:val="right" w:pos="8306"/>
      </w:tabs>
      <w:snapToGrid w:val="0"/>
    </w:pPr>
    <w:rPr>
      <w:sz w:val="18"/>
      <w:szCs w:val="18"/>
    </w:rPr>
  </w:style>
  <w:style w:type="character" w:customStyle="1" w:styleId="a6">
    <w:name w:val="页脚 字符"/>
    <w:basedOn w:val="a0"/>
    <w:link w:val="a5"/>
    <w:uiPriority w:val="99"/>
    <w:rsid w:val="00EE171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1242">
      <w:marLeft w:val="0"/>
      <w:marRight w:val="0"/>
      <w:marTop w:val="10"/>
      <w:marBottom w:val="10"/>
      <w:divBdr>
        <w:top w:val="none" w:sz="0" w:space="0" w:color="auto"/>
        <w:left w:val="none" w:sz="0" w:space="0" w:color="auto"/>
        <w:bottom w:val="none" w:sz="0" w:space="0" w:color="auto"/>
        <w:right w:val="none" w:sz="0" w:space="0" w:color="auto"/>
      </w:divBdr>
    </w:div>
    <w:div w:id="150566930">
      <w:marLeft w:val="0"/>
      <w:marRight w:val="0"/>
      <w:marTop w:val="10"/>
      <w:marBottom w:val="10"/>
      <w:divBdr>
        <w:top w:val="none" w:sz="0" w:space="0" w:color="auto"/>
        <w:left w:val="none" w:sz="0" w:space="0" w:color="auto"/>
        <w:bottom w:val="none" w:sz="0" w:space="0" w:color="auto"/>
        <w:right w:val="none" w:sz="0" w:space="0" w:color="auto"/>
      </w:divBdr>
    </w:div>
    <w:div w:id="172307350">
      <w:marLeft w:val="0"/>
      <w:marRight w:val="720"/>
      <w:marTop w:val="10"/>
      <w:marBottom w:val="10"/>
      <w:divBdr>
        <w:top w:val="none" w:sz="0" w:space="0" w:color="auto"/>
        <w:left w:val="none" w:sz="0" w:space="0" w:color="auto"/>
        <w:bottom w:val="none" w:sz="0" w:space="0" w:color="auto"/>
        <w:right w:val="none" w:sz="0" w:space="0" w:color="auto"/>
      </w:divBdr>
    </w:div>
    <w:div w:id="176309360">
      <w:marLeft w:val="0"/>
      <w:marRight w:val="720"/>
      <w:marTop w:val="10"/>
      <w:marBottom w:val="10"/>
      <w:divBdr>
        <w:top w:val="none" w:sz="0" w:space="0" w:color="auto"/>
        <w:left w:val="none" w:sz="0" w:space="0" w:color="auto"/>
        <w:bottom w:val="none" w:sz="0" w:space="0" w:color="auto"/>
        <w:right w:val="none" w:sz="0" w:space="0" w:color="auto"/>
      </w:divBdr>
    </w:div>
    <w:div w:id="342321576">
      <w:marLeft w:val="0"/>
      <w:marRight w:val="0"/>
      <w:marTop w:val="10"/>
      <w:marBottom w:val="10"/>
      <w:divBdr>
        <w:top w:val="none" w:sz="0" w:space="0" w:color="auto"/>
        <w:left w:val="none" w:sz="0" w:space="0" w:color="auto"/>
        <w:bottom w:val="none" w:sz="0" w:space="0" w:color="auto"/>
        <w:right w:val="none" w:sz="0" w:space="0" w:color="auto"/>
      </w:divBdr>
    </w:div>
    <w:div w:id="408617466">
      <w:marLeft w:val="0"/>
      <w:marRight w:val="0"/>
      <w:marTop w:val="10"/>
      <w:marBottom w:val="10"/>
      <w:divBdr>
        <w:top w:val="none" w:sz="0" w:space="0" w:color="auto"/>
        <w:left w:val="none" w:sz="0" w:space="0" w:color="auto"/>
        <w:bottom w:val="none" w:sz="0" w:space="0" w:color="auto"/>
        <w:right w:val="none" w:sz="0" w:space="0" w:color="auto"/>
      </w:divBdr>
    </w:div>
    <w:div w:id="538785514">
      <w:marLeft w:val="0"/>
      <w:marRight w:val="0"/>
      <w:marTop w:val="10"/>
      <w:marBottom w:val="10"/>
      <w:divBdr>
        <w:top w:val="none" w:sz="0" w:space="0" w:color="auto"/>
        <w:left w:val="none" w:sz="0" w:space="0" w:color="auto"/>
        <w:bottom w:val="none" w:sz="0" w:space="0" w:color="auto"/>
        <w:right w:val="none" w:sz="0" w:space="0" w:color="auto"/>
      </w:divBdr>
    </w:div>
    <w:div w:id="593979946">
      <w:marLeft w:val="0"/>
      <w:marRight w:val="720"/>
      <w:marTop w:val="10"/>
      <w:marBottom w:val="10"/>
      <w:divBdr>
        <w:top w:val="none" w:sz="0" w:space="0" w:color="auto"/>
        <w:left w:val="none" w:sz="0" w:space="0" w:color="auto"/>
        <w:bottom w:val="none" w:sz="0" w:space="0" w:color="auto"/>
        <w:right w:val="none" w:sz="0" w:space="0" w:color="auto"/>
      </w:divBdr>
    </w:div>
    <w:div w:id="772551504">
      <w:marLeft w:val="0"/>
      <w:marRight w:val="0"/>
      <w:marTop w:val="10"/>
      <w:marBottom w:val="10"/>
      <w:divBdr>
        <w:top w:val="none" w:sz="0" w:space="0" w:color="auto"/>
        <w:left w:val="none" w:sz="0" w:space="0" w:color="auto"/>
        <w:bottom w:val="none" w:sz="0" w:space="0" w:color="auto"/>
        <w:right w:val="none" w:sz="0" w:space="0" w:color="auto"/>
      </w:divBdr>
    </w:div>
    <w:div w:id="1140923033">
      <w:marLeft w:val="0"/>
      <w:marRight w:val="0"/>
      <w:marTop w:val="10"/>
      <w:marBottom w:val="10"/>
      <w:divBdr>
        <w:top w:val="none" w:sz="0" w:space="0" w:color="auto"/>
        <w:left w:val="none" w:sz="0" w:space="0" w:color="auto"/>
        <w:bottom w:val="none" w:sz="0" w:space="0" w:color="auto"/>
        <w:right w:val="none" w:sz="0" w:space="0" w:color="auto"/>
      </w:divBdr>
    </w:div>
    <w:div w:id="1195928414">
      <w:marLeft w:val="0"/>
      <w:marRight w:val="0"/>
      <w:marTop w:val="10"/>
      <w:marBottom w:val="10"/>
      <w:divBdr>
        <w:top w:val="none" w:sz="0" w:space="0" w:color="auto"/>
        <w:left w:val="none" w:sz="0" w:space="0" w:color="auto"/>
        <w:bottom w:val="none" w:sz="0" w:space="0" w:color="auto"/>
        <w:right w:val="none" w:sz="0" w:space="0" w:color="auto"/>
      </w:divBdr>
    </w:div>
    <w:div w:id="1238830525">
      <w:marLeft w:val="0"/>
      <w:marRight w:val="0"/>
      <w:marTop w:val="10"/>
      <w:marBottom w:val="10"/>
      <w:divBdr>
        <w:top w:val="none" w:sz="0" w:space="0" w:color="auto"/>
        <w:left w:val="none" w:sz="0" w:space="0" w:color="auto"/>
        <w:bottom w:val="none" w:sz="0" w:space="0" w:color="auto"/>
        <w:right w:val="none" w:sz="0" w:space="0" w:color="auto"/>
      </w:divBdr>
    </w:div>
    <w:div w:id="1318268460">
      <w:marLeft w:val="0"/>
      <w:marRight w:val="0"/>
      <w:marTop w:val="10"/>
      <w:marBottom w:val="10"/>
      <w:divBdr>
        <w:top w:val="none" w:sz="0" w:space="0" w:color="auto"/>
        <w:left w:val="none" w:sz="0" w:space="0" w:color="auto"/>
        <w:bottom w:val="none" w:sz="0" w:space="0" w:color="auto"/>
        <w:right w:val="none" w:sz="0" w:space="0" w:color="auto"/>
      </w:divBdr>
    </w:div>
    <w:div w:id="1347177044">
      <w:marLeft w:val="0"/>
      <w:marRight w:val="0"/>
      <w:marTop w:val="10"/>
      <w:marBottom w:val="10"/>
      <w:divBdr>
        <w:top w:val="none" w:sz="0" w:space="0" w:color="auto"/>
        <w:left w:val="none" w:sz="0" w:space="0" w:color="auto"/>
        <w:bottom w:val="none" w:sz="0" w:space="0" w:color="auto"/>
        <w:right w:val="none" w:sz="0" w:space="0" w:color="auto"/>
      </w:divBdr>
    </w:div>
    <w:div w:id="1623799980">
      <w:marLeft w:val="0"/>
      <w:marRight w:val="0"/>
      <w:marTop w:val="10"/>
      <w:marBottom w:val="10"/>
      <w:divBdr>
        <w:top w:val="none" w:sz="0" w:space="0" w:color="auto"/>
        <w:left w:val="none" w:sz="0" w:space="0" w:color="auto"/>
        <w:bottom w:val="none" w:sz="0" w:space="0" w:color="auto"/>
        <w:right w:val="none" w:sz="0" w:space="0" w:color="auto"/>
      </w:divBdr>
    </w:div>
    <w:div w:id="1787314182">
      <w:marLeft w:val="0"/>
      <w:marRight w:val="0"/>
      <w:marTop w:val="10"/>
      <w:marBottom w:val="10"/>
      <w:divBdr>
        <w:top w:val="none" w:sz="0" w:space="0" w:color="auto"/>
        <w:left w:val="none" w:sz="0" w:space="0" w:color="auto"/>
        <w:bottom w:val="none" w:sz="0" w:space="0" w:color="auto"/>
        <w:right w:val="none" w:sz="0" w:space="0" w:color="auto"/>
      </w:divBdr>
    </w:div>
    <w:div w:id="1805275813">
      <w:marLeft w:val="0"/>
      <w:marRight w:val="0"/>
      <w:marTop w:val="10"/>
      <w:marBottom w:val="10"/>
      <w:divBdr>
        <w:top w:val="none" w:sz="0" w:space="0" w:color="auto"/>
        <w:left w:val="none" w:sz="0" w:space="0" w:color="auto"/>
        <w:bottom w:val="none" w:sz="0" w:space="0" w:color="auto"/>
        <w:right w:val="none" w:sz="0" w:space="0" w:color="auto"/>
      </w:divBdr>
    </w:div>
    <w:div w:id="1922979253">
      <w:marLeft w:val="0"/>
      <w:marRight w:val="0"/>
      <w:marTop w:val="10"/>
      <w:marBottom w:val="10"/>
      <w:divBdr>
        <w:top w:val="none" w:sz="0" w:space="0" w:color="auto"/>
        <w:left w:val="none" w:sz="0" w:space="0" w:color="auto"/>
        <w:bottom w:val="none" w:sz="0" w:space="0" w:color="auto"/>
        <w:right w:val="none" w:sz="0" w:space="0" w:color="auto"/>
      </w:divBdr>
    </w:div>
    <w:div w:id="20482124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238</Words>
  <Characters>1363</Characters>
  <Application>Microsoft Office Word</Application>
  <DocSecurity>0</DocSecurity>
  <Lines>11</Lines>
  <Paragraphs>3</Paragraphs>
  <ScaleCrop>false</ScaleCrop>
  <Company/>
  <LinksUpToDate>false</LinksUpToDate>
  <CharactersWithSpaces>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