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1F88" w14:textId="77777777" w:rsidR="00D376DB" w:rsidRDefault="00D376DB">
      <w:pPr>
        <w:spacing w:line="500" w:lineRule="atLeast"/>
        <w:jc w:val="center"/>
        <w:divId w:val="705106415"/>
        <w:rPr>
          <w:rFonts w:ascii="黑体" w:eastAsia="黑体" w:hAnsi="黑体"/>
          <w:sz w:val="36"/>
          <w:szCs w:val="36"/>
        </w:rPr>
      </w:pPr>
      <w:r>
        <w:rPr>
          <w:rFonts w:ascii="黑体" w:eastAsia="黑体" w:hAnsi="黑体" w:hint="eastAsia"/>
          <w:sz w:val="36"/>
          <w:szCs w:val="36"/>
        </w:rPr>
        <w:t>广东省中山市第二人民法院</w:t>
      </w:r>
    </w:p>
    <w:p w14:paraId="3F098E21" w14:textId="77777777" w:rsidR="00D376DB" w:rsidRDefault="00D376DB">
      <w:pPr>
        <w:spacing w:line="500" w:lineRule="atLeast"/>
        <w:jc w:val="center"/>
        <w:divId w:val="4161701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9E6D24" w14:textId="77777777" w:rsidR="00D376DB" w:rsidRDefault="00D376DB">
      <w:pPr>
        <w:spacing w:line="500" w:lineRule="atLeast"/>
        <w:jc w:val="right"/>
        <w:divId w:val="754413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1857</w:t>
      </w:r>
      <w:r>
        <w:rPr>
          <w:rFonts w:hint="eastAsia"/>
          <w:sz w:val="30"/>
          <w:szCs w:val="30"/>
        </w:rPr>
        <w:t>号</w:t>
      </w:r>
    </w:p>
    <w:p w14:paraId="14CDE02A" w14:textId="77777777" w:rsidR="00D376DB" w:rsidRDefault="00D376DB">
      <w:pPr>
        <w:spacing w:line="500" w:lineRule="atLeast"/>
        <w:ind w:firstLine="600"/>
        <w:divId w:val="1925531039"/>
        <w:rPr>
          <w:rFonts w:hint="eastAsia"/>
          <w:sz w:val="30"/>
          <w:szCs w:val="30"/>
        </w:rPr>
      </w:pPr>
      <w:r>
        <w:rPr>
          <w:rFonts w:hint="eastAsia"/>
          <w:sz w:val="30"/>
          <w:szCs w:val="30"/>
        </w:rPr>
        <w:t>公诉机关中山市第二市区人民检察院。</w:t>
      </w:r>
    </w:p>
    <w:p w14:paraId="391D55E5" w14:textId="77777777" w:rsidR="00D376DB" w:rsidRDefault="00D376DB">
      <w:pPr>
        <w:spacing w:line="500" w:lineRule="atLeast"/>
        <w:ind w:firstLine="600"/>
        <w:divId w:val="1896236937"/>
        <w:rPr>
          <w:rFonts w:hint="eastAsia"/>
          <w:sz w:val="30"/>
          <w:szCs w:val="30"/>
        </w:rPr>
      </w:pPr>
      <w:r>
        <w:rPr>
          <w:rFonts w:hint="eastAsia"/>
          <w:sz w:val="30"/>
          <w:szCs w:val="30"/>
        </w:rPr>
        <w:t>被告人何荇标，男，</w:t>
      </w:r>
      <w:r>
        <w:rPr>
          <w:rFonts w:hint="eastAsia"/>
          <w:sz w:val="30"/>
          <w:szCs w:val="30"/>
        </w:rPr>
        <w:t>1982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日出生于广东省中山市，汉族，初中文化，原中山市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办公室协管员，户籍所在地中山市。因本案于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日被逮捕。现押于中山市看守所。</w:t>
      </w:r>
    </w:p>
    <w:p w14:paraId="3574F33B" w14:textId="77777777" w:rsidR="00D376DB" w:rsidRDefault="00D376DB">
      <w:pPr>
        <w:spacing w:line="500" w:lineRule="atLeast"/>
        <w:ind w:firstLine="600"/>
        <w:divId w:val="1940866743"/>
        <w:rPr>
          <w:rFonts w:hint="eastAsia"/>
          <w:sz w:val="30"/>
          <w:szCs w:val="30"/>
        </w:rPr>
      </w:pPr>
      <w:r>
        <w:rPr>
          <w:rFonts w:hint="eastAsia"/>
          <w:sz w:val="30"/>
          <w:szCs w:val="30"/>
        </w:rPr>
        <w:t>辩护人梁炬标，广东广诚信律师事务所律师。</w:t>
      </w:r>
    </w:p>
    <w:p w14:paraId="62A3EB62" w14:textId="77777777" w:rsidR="00D376DB" w:rsidRDefault="00D376DB">
      <w:pPr>
        <w:spacing w:line="500" w:lineRule="atLeast"/>
        <w:ind w:firstLine="600"/>
        <w:divId w:val="1942957736"/>
        <w:rPr>
          <w:rFonts w:hint="eastAsia"/>
          <w:sz w:val="30"/>
          <w:szCs w:val="30"/>
        </w:rPr>
      </w:pPr>
      <w:r>
        <w:rPr>
          <w:rFonts w:hint="eastAsia"/>
          <w:sz w:val="30"/>
          <w:szCs w:val="30"/>
        </w:rPr>
        <w:t>中山市第二市区人民检察院以中检二区刑诉（</w:t>
      </w:r>
      <w:r>
        <w:rPr>
          <w:rFonts w:hint="eastAsia"/>
          <w:sz w:val="30"/>
          <w:szCs w:val="30"/>
        </w:rPr>
        <w:t>2018</w:t>
      </w:r>
      <w:r>
        <w:rPr>
          <w:rFonts w:hint="eastAsia"/>
          <w:sz w:val="30"/>
          <w:szCs w:val="30"/>
        </w:rPr>
        <w:t>）</w:t>
      </w:r>
      <w:r>
        <w:rPr>
          <w:rFonts w:hint="eastAsia"/>
          <w:sz w:val="30"/>
          <w:szCs w:val="30"/>
        </w:rPr>
        <w:t>1838</w:t>
      </w:r>
      <w:r>
        <w:rPr>
          <w:rFonts w:hint="eastAsia"/>
          <w:sz w:val="30"/>
          <w:szCs w:val="30"/>
        </w:rPr>
        <w:t>号起诉书指控被告人何荇标犯受贿罪，于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日公开开庭审理了本案。中山市第二市区人民检察院指派检察员余耀勇出庭支持公诉，被告人何荇标及其辩护人梁炬标到庭参加诉讼。现已审理终结。</w:t>
      </w:r>
    </w:p>
    <w:p w14:paraId="4589FD58" w14:textId="77777777" w:rsidR="00D376DB" w:rsidRDefault="00D376DB">
      <w:pPr>
        <w:spacing w:line="500" w:lineRule="atLeast"/>
        <w:ind w:firstLine="600"/>
        <w:divId w:val="9109548"/>
        <w:rPr>
          <w:rFonts w:hint="eastAsia"/>
          <w:sz w:val="30"/>
          <w:szCs w:val="30"/>
        </w:rPr>
      </w:pPr>
      <w:r>
        <w:rPr>
          <w:rFonts w:hint="eastAsia"/>
          <w:sz w:val="30"/>
          <w:szCs w:val="30"/>
        </w:rPr>
        <w:t>经审理查明，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年，被告人何荇标在担任中山市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办公室协管员期间，利用负责办理广东省居住证的职务便利，接受周某（另案处理）及谭某、赵某、岑某</w:t>
      </w:r>
      <w:r>
        <w:rPr>
          <w:rFonts w:hint="eastAsia"/>
          <w:sz w:val="30"/>
          <w:szCs w:val="30"/>
        </w:rPr>
        <w:t>1</w:t>
      </w:r>
      <w:r>
        <w:rPr>
          <w:rFonts w:hint="eastAsia"/>
          <w:sz w:val="30"/>
          <w:szCs w:val="30"/>
        </w:rPr>
        <w:t>（均另案处理）等人请托，为他人违规办理广东省居住证或优先办理广东省居住证，收取贿款共计人民币</w:t>
      </w:r>
      <w:r>
        <w:rPr>
          <w:rFonts w:hint="eastAsia"/>
          <w:sz w:val="30"/>
          <w:szCs w:val="30"/>
        </w:rPr>
        <w:t>104980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日，被告人何荇标接受中共中山市</w:t>
      </w:r>
      <w:r>
        <w:rPr>
          <w:rFonts w:hint="eastAsia"/>
          <w:sz w:val="30"/>
          <w:szCs w:val="30"/>
        </w:rPr>
        <w:t>xx</w:t>
      </w:r>
      <w:r>
        <w:rPr>
          <w:rFonts w:hint="eastAsia"/>
          <w:sz w:val="30"/>
          <w:szCs w:val="30"/>
        </w:rPr>
        <w:t>镇纪律检查委员会问话时如实交代了上述事实，并于同日归案。事后，被告人何荇标家属已退还赃款人民币</w:t>
      </w:r>
      <w:r>
        <w:rPr>
          <w:rFonts w:hint="eastAsia"/>
          <w:sz w:val="30"/>
          <w:szCs w:val="30"/>
        </w:rPr>
        <w:t>104980</w:t>
      </w:r>
      <w:r>
        <w:rPr>
          <w:rFonts w:hint="eastAsia"/>
          <w:sz w:val="30"/>
          <w:szCs w:val="30"/>
        </w:rPr>
        <w:t>元。</w:t>
      </w:r>
    </w:p>
    <w:p w14:paraId="59C904A4" w14:textId="77777777" w:rsidR="00D376DB" w:rsidRDefault="00D376DB">
      <w:pPr>
        <w:spacing w:line="500" w:lineRule="atLeast"/>
        <w:ind w:firstLine="600"/>
        <w:divId w:val="526673238"/>
        <w:rPr>
          <w:rFonts w:hint="eastAsia"/>
          <w:sz w:val="30"/>
          <w:szCs w:val="30"/>
        </w:rPr>
      </w:pPr>
      <w:r>
        <w:rPr>
          <w:rFonts w:hint="eastAsia"/>
          <w:sz w:val="30"/>
          <w:szCs w:val="30"/>
        </w:rPr>
        <w:t>上述事实，被告人何荇标在开庭审理过程中也无异议，并有中山市公安局东凤分局兴华派出所出具的抓获经过，现场勘验检查笔录、现场方位图及现场照片，中山市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办公室出具的被告人何荇标的职务说明、岗位职责及情况说明、劳动</w:t>
      </w:r>
      <w:r>
        <w:rPr>
          <w:rFonts w:hint="eastAsia"/>
          <w:sz w:val="30"/>
          <w:szCs w:val="30"/>
        </w:rPr>
        <w:lastRenderedPageBreak/>
        <w:t>合同、广东省居住证领取资料，中山市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办公室出具的违规办理的居住证汇总表、广东省中山市公安局交通警察支队车辆管理所出具的机动车上牌资料，深圳市</w:t>
      </w:r>
      <w:r>
        <w:rPr>
          <w:rFonts w:hint="eastAsia"/>
          <w:sz w:val="30"/>
          <w:szCs w:val="30"/>
        </w:rPr>
        <w:t>xx</w:t>
      </w:r>
      <w:r>
        <w:rPr>
          <w:rFonts w:hint="eastAsia"/>
          <w:sz w:val="30"/>
          <w:szCs w:val="30"/>
        </w:rPr>
        <w:t>计算机系统有限公司安全管理部出具的微信交易流水、截取被告人何荇标的微信转账记录等，中山市公安局东凤分局兴华派出所出具的接受证据材料清单及中国农业银行的现金缴款单，被告人何荇标、证人周某确认由其填写的租赁合同，申请人姓名为林某的广东省居住证领取凭证、采集回执及身份证资料，证人陈某的数字相片采集回执及广东省居住证，证人张某的广东省居住证，证人雷某购买汽车的定金收据及广东省居住证，证人谭某提供的与微信绑定的中国工商银行卡及微信号，证人赵某、岑某</w:t>
      </w:r>
      <w:r>
        <w:rPr>
          <w:rFonts w:hint="eastAsia"/>
          <w:sz w:val="30"/>
          <w:szCs w:val="30"/>
        </w:rPr>
        <w:t>1</w:t>
      </w:r>
      <w:r>
        <w:rPr>
          <w:rFonts w:hint="eastAsia"/>
          <w:sz w:val="30"/>
          <w:szCs w:val="30"/>
        </w:rPr>
        <w:t>提供的微信号，证人周某、麦某、岑某</w:t>
      </w:r>
      <w:r>
        <w:rPr>
          <w:rFonts w:hint="eastAsia"/>
          <w:sz w:val="30"/>
          <w:szCs w:val="30"/>
        </w:rPr>
        <w:t>2</w:t>
      </w:r>
      <w:r>
        <w:rPr>
          <w:rFonts w:hint="eastAsia"/>
          <w:sz w:val="30"/>
          <w:szCs w:val="30"/>
        </w:rPr>
        <w:t>、王某、吴某、罗某</w:t>
      </w:r>
      <w:r>
        <w:rPr>
          <w:rFonts w:hint="eastAsia"/>
          <w:sz w:val="30"/>
          <w:szCs w:val="30"/>
        </w:rPr>
        <w:t>1</w:t>
      </w:r>
      <w:r>
        <w:rPr>
          <w:rFonts w:hint="eastAsia"/>
          <w:sz w:val="30"/>
          <w:szCs w:val="30"/>
        </w:rPr>
        <w:t>、郭某、谭某、赵某、岑某</w:t>
      </w:r>
      <w:r>
        <w:rPr>
          <w:rFonts w:hint="eastAsia"/>
          <w:sz w:val="30"/>
          <w:szCs w:val="30"/>
        </w:rPr>
        <w:t>1</w:t>
      </w:r>
      <w:r>
        <w:rPr>
          <w:rFonts w:hint="eastAsia"/>
          <w:sz w:val="30"/>
          <w:szCs w:val="30"/>
        </w:rPr>
        <w:t>的证言及辨认笔录，证人林某、肖某、卢某、梁某、郑某、彭某、李某、罗某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、谢某、张某、陈某、雷某的证言，被告人何荇标的供述及辨认笔录、户籍证明等证据证实，足以认定。</w:t>
      </w:r>
    </w:p>
    <w:p w14:paraId="0FC3E218" w14:textId="77777777" w:rsidR="00D376DB" w:rsidRDefault="00D376DB">
      <w:pPr>
        <w:spacing w:line="500" w:lineRule="atLeast"/>
        <w:ind w:firstLine="600"/>
        <w:divId w:val="758214234"/>
        <w:rPr>
          <w:rFonts w:hint="eastAsia"/>
          <w:sz w:val="30"/>
          <w:szCs w:val="30"/>
        </w:rPr>
      </w:pPr>
      <w:r>
        <w:rPr>
          <w:rFonts w:hint="eastAsia"/>
          <w:sz w:val="30"/>
          <w:szCs w:val="30"/>
        </w:rPr>
        <w:t>本院认为，被告人何荇标无视国家法律，身为国家工作人员，利用职务便利为他人谋取利益，非法收受他人财物，数额较大，其行为已构成受贿罪，应依法惩处。鉴于被告人何荇标能自动向公安机关投案，且归案后能如实供述其罪行，有自首情节，依法可以从轻处罚。被告人何荇标归案后能退还受贿所得赃款，可酌情从轻处罚。公诉机关指控被告人何荇标犯受贿罪的事实清楚，证据确实、充分，罪名成立，本院予以支持。对辩护人所提被告人何荇标为谭某等人员优先办理广东省居住证的行为并非违规，也没有为他们谋取利益，因此收受该部分款项的行为不应认定为受贿犯罪的意见，经查，依顺序办理广东省居住证是办理该身份证件的程序要求，被告人何荇标接受谭某等人员请托优先为其办理广东省居住证的行为违反以上程序方面的规定，其行为显然属于违反规定为上述人员谋取不正当利益，被告人何荇标又为此收受上述人员的贿送款项，故其该部分行为依法应当认定为受贿犯罪，辩护人对此提出的辩护意见理据不足，本院不予采纳。另对辩护人辩称被告人何荇标有自首情节且是初犯、归案后能积极退还受贿所得赃款等意见，经查属实；对被告人何荇标及其辩护人请求从轻处罚的意见，本院一并采纳。辩护人又请求对被告人何荇标适用缓刑，根据</w:t>
      </w:r>
      <w:r>
        <w:rPr>
          <w:rFonts w:hint="eastAsia"/>
          <w:sz w:val="30"/>
          <w:szCs w:val="30"/>
        </w:rPr>
        <w:t>被告人何荇标的犯罪性质及情节，不符合适用缓刑的法律规定，本院决定不适用缓刑，故对该意见不予采纳。依照《中华人民共和国刑法》第三百八十五条第一款、第三百八十六条、第三百八十三条第一款第（一）项、第三款、第六十七条第一款、第六十四条及《最高人民法院、最高人民检察院关于办理贪污贿赂刑事案件适用法律若干问题的解释》第一条第一款、第十九条第一款、《最高人民法院关于处理自首和立功具体应用法律若干问题的解释》第一条之规定，判决如下：</w:t>
      </w:r>
    </w:p>
    <w:p w14:paraId="68C57660" w14:textId="77777777" w:rsidR="00D376DB" w:rsidRDefault="00D376DB">
      <w:pPr>
        <w:spacing w:line="500" w:lineRule="atLeast"/>
        <w:ind w:firstLine="600"/>
        <w:divId w:val="405078319"/>
        <w:rPr>
          <w:rFonts w:hint="eastAsia"/>
          <w:sz w:val="30"/>
          <w:szCs w:val="30"/>
        </w:rPr>
      </w:pPr>
      <w:r>
        <w:rPr>
          <w:rFonts w:hint="eastAsia"/>
          <w:sz w:val="30"/>
          <w:szCs w:val="30"/>
        </w:rPr>
        <w:t>一、被告人何荇标犯受贿罪，判处有期徒刑一年三个月，并处罚金十万元；</w:t>
      </w:r>
    </w:p>
    <w:p w14:paraId="7A5B41E6" w14:textId="77777777" w:rsidR="00D376DB" w:rsidRDefault="00D376DB">
      <w:pPr>
        <w:spacing w:line="500" w:lineRule="atLeast"/>
        <w:ind w:firstLine="600"/>
        <w:divId w:val="20888460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日止。罚金自本判决发生法律效力之日起十日内向本院缴纳。期满不缴纳的，强制缴纳）</w:t>
      </w:r>
    </w:p>
    <w:p w14:paraId="19FC0C84" w14:textId="77777777" w:rsidR="00D376DB" w:rsidRDefault="00D376DB">
      <w:pPr>
        <w:spacing w:line="500" w:lineRule="atLeast"/>
        <w:ind w:firstLine="600"/>
        <w:divId w:val="1169447885"/>
        <w:rPr>
          <w:rFonts w:hint="eastAsia"/>
          <w:sz w:val="30"/>
          <w:szCs w:val="30"/>
        </w:rPr>
      </w:pPr>
      <w:r>
        <w:rPr>
          <w:rFonts w:hint="eastAsia"/>
          <w:sz w:val="30"/>
          <w:szCs w:val="30"/>
        </w:rPr>
        <w:t>二、被告人何荇标退出的违法所得</w:t>
      </w:r>
      <w:r>
        <w:rPr>
          <w:rFonts w:hint="eastAsia"/>
          <w:sz w:val="30"/>
          <w:szCs w:val="30"/>
        </w:rPr>
        <w:t>104980</w:t>
      </w:r>
      <w:r>
        <w:rPr>
          <w:rFonts w:hint="eastAsia"/>
          <w:sz w:val="30"/>
          <w:szCs w:val="30"/>
        </w:rPr>
        <w:t>元，予以追缴，由扣押机关依法上缴国库。</w:t>
      </w:r>
    </w:p>
    <w:p w14:paraId="7578F672" w14:textId="77777777" w:rsidR="00D376DB" w:rsidRDefault="00D376DB">
      <w:pPr>
        <w:spacing w:line="500" w:lineRule="atLeast"/>
        <w:ind w:firstLine="600"/>
        <w:divId w:val="1770274940"/>
        <w:rPr>
          <w:rFonts w:hint="eastAsia"/>
          <w:sz w:val="30"/>
          <w:szCs w:val="30"/>
        </w:rPr>
      </w:pPr>
      <w:r>
        <w:rPr>
          <w:rFonts w:hint="eastAsia"/>
          <w:sz w:val="30"/>
          <w:szCs w:val="30"/>
        </w:rPr>
        <w:t>如不服本判决，可在接到判决书的第二日起十日内，通过本院或直接向广东省中山市中级人民法院提出上诉。书面上诉的，应当提交上诉状正本一份，副本二份。</w:t>
      </w:r>
    </w:p>
    <w:p w14:paraId="3C937318" w14:textId="77777777" w:rsidR="00D376DB" w:rsidRDefault="00D376DB">
      <w:pPr>
        <w:spacing w:line="500" w:lineRule="atLeast"/>
        <w:jc w:val="right"/>
        <w:divId w:val="1745570212"/>
        <w:rPr>
          <w:rFonts w:hint="eastAsia"/>
          <w:sz w:val="30"/>
          <w:szCs w:val="30"/>
        </w:rPr>
      </w:pPr>
      <w:r>
        <w:rPr>
          <w:rFonts w:hint="eastAsia"/>
          <w:sz w:val="30"/>
          <w:szCs w:val="30"/>
        </w:rPr>
        <w:t>审　判　长　　陈健强</w:t>
      </w:r>
    </w:p>
    <w:p w14:paraId="7FB326F9" w14:textId="77777777" w:rsidR="00D376DB" w:rsidRDefault="00D376DB">
      <w:pPr>
        <w:spacing w:line="500" w:lineRule="atLeast"/>
        <w:jc w:val="right"/>
        <w:divId w:val="678967496"/>
        <w:rPr>
          <w:rFonts w:hint="eastAsia"/>
          <w:sz w:val="30"/>
          <w:szCs w:val="30"/>
        </w:rPr>
      </w:pPr>
      <w:r>
        <w:rPr>
          <w:rFonts w:hint="eastAsia"/>
          <w:sz w:val="30"/>
          <w:szCs w:val="30"/>
        </w:rPr>
        <w:t>人民陪审员　　黄小冬</w:t>
      </w:r>
    </w:p>
    <w:p w14:paraId="16EB14B2" w14:textId="77777777" w:rsidR="00D376DB" w:rsidRDefault="00D376DB">
      <w:pPr>
        <w:spacing w:line="500" w:lineRule="atLeast"/>
        <w:jc w:val="right"/>
        <w:divId w:val="2035768420"/>
        <w:rPr>
          <w:rFonts w:hint="eastAsia"/>
          <w:sz w:val="30"/>
          <w:szCs w:val="30"/>
        </w:rPr>
      </w:pPr>
      <w:r>
        <w:rPr>
          <w:rFonts w:hint="eastAsia"/>
          <w:sz w:val="30"/>
          <w:szCs w:val="30"/>
        </w:rPr>
        <w:t>人民陪审员　　陈　艳</w:t>
      </w:r>
    </w:p>
    <w:p w14:paraId="5385BC6A" w14:textId="77777777" w:rsidR="00D376DB" w:rsidRDefault="00D376DB">
      <w:pPr>
        <w:spacing w:line="500" w:lineRule="atLeast"/>
        <w:jc w:val="right"/>
        <w:divId w:val="305621360"/>
        <w:rPr>
          <w:rFonts w:hint="eastAsia"/>
          <w:sz w:val="30"/>
          <w:szCs w:val="30"/>
        </w:rPr>
      </w:pPr>
      <w:r>
        <w:rPr>
          <w:rFonts w:hint="eastAsia"/>
          <w:sz w:val="30"/>
          <w:szCs w:val="30"/>
        </w:rPr>
        <w:t>二〇一九年一月二十四日</w:t>
      </w:r>
    </w:p>
    <w:p w14:paraId="4C9A20D9" w14:textId="77777777" w:rsidR="00D376DB" w:rsidRDefault="00D376DB">
      <w:pPr>
        <w:spacing w:line="500" w:lineRule="atLeast"/>
        <w:jc w:val="right"/>
        <w:divId w:val="143011668"/>
        <w:rPr>
          <w:rFonts w:hint="eastAsia"/>
          <w:sz w:val="30"/>
          <w:szCs w:val="30"/>
        </w:rPr>
      </w:pPr>
      <w:r>
        <w:rPr>
          <w:rFonts w:hint="eastAsia"/>
          <w:sz w:val="30"/>
          <w:szCs w:val="30"/>
        </w:rPr>
        <w:t>书　记　员　　袁小燕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5B30" w14:textId="77777777" w:rsidR="00D376DB" w:rsidRDefault="00D376DB" w:rsidP="00D376DB">
      <w:pPr>
        <w:rPr>
          <w:rFonts w:hint="eastAsia"/>
        </w:rPr>
      </w:pPr>
      <w:r>
        <w:separator/>
      </w:r>
    </w:p>
  </w:endnote>
  <w:endnote w:type="continuationSeparator" w:id="0">
    <w:p w14:paraId="652844B1" w14:textId="77777777" w:rsidR="00D376DB" w:rsidRDefault="00D376DB" w:rsidP="00D376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1201" w14:textId="77777777" w:rsidR="00D376DB" w:rsidRDefault="00D376DB" w:rsidP="00D376DB">
      <w:pPr>
        <w:rPr>
          <w:rFonts w:hint="eastAsia"/>
        </w:rPr>
      </w:pPr>
      <w:r>
        <w:separator/>
      </w:r>
    </w:p>
  </w:footnote>
  <w:footnote w:type="continuationSeparator" w:id="0">
    <w:p w14:paraId="2A840805" w14:textId="77777777" w:rsidR="00D376DB" w:rsidRDefault="00D376DB" w:rsidP="00D376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76DB"/>
    <w:rsid w:val="002A784C"/>
    <w:rsid w:val="00D37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05BE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76DB"/>
    <w:pPr>
      <w:tabs>
        <w:tab w:val="center" w:pos="4153"/>
        <w:tab w:val="right" w:pos="8306"/>
      </w:tabs>
      <w:snapToGrid w:val="0"/>
      <w:jc w:val="center"/>
    </w:pPr>
    <w:rPr>
      <w:sz w:val="18"/>
      <w:szCs w:val="18"/>
    </w:rPr>
  </w:style>
  <w:style w:type="character" w:customStyle="1" w:styleId="a4">
    <w:name w:val="页眉 字符"/>
    <w:basedOn w:val="a0"/>
    <w:link w:val="a3"/>
    <w:uiPriority w:val="99"/>
    <w:rsid w:val="00D376DB"/>
    <w:rPr>
      <w:rFonts w:ascii="宋体" w:eastAsia="宋体" w:hAnsi="宋体" w:cs="宋体"/>
      <w:sz w:val="18"/>
      <w:szCs w:val="18"/>
    </w:rPr>
  </w:style>
  <w:style w:type="paragraph" w:styleId="a5">
    <w:name w:val="footer"/>
    <w:basedOn w:val="a"/>
    <w:link w:val="a6"/>
    <w:uiPriority w:val="99"/>
    <w:unhideWhenUsed/>
    <w:rsid w:val="00D376DB"/>
    <w:pPr>
      <w:tabs>
        <w:tab w:val="center" w:pos="4153"/>
        <w:tab w:val="right" w:pos="8306"/>
      </w:tabs>
      <w:snapToGrid w:val="0"/>
    </w:pPr>
    <w:rPr>
      <w:sz w:val="18"/>
      <w:szCs w:val="18"/>
    </w:rPr>
  </w:style>
  <w:style w:type="character" w:customStyle="1" w:styleId="a6">
    <w:name w:val="页脚 字符"/>
    <w:basedOn w:val="a0"/>
    <w:link w:val="a5"/>
    <w:uiPriority w:val="99"/>
    <w:rsid w:val="00D376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548">
      <w:marLeft w:val="0"/>
      <w:marRight w:val="0"/>
      <w:marTop w:val="10"/>
      <w:marBottom w:val="10"/>
      <w:divBdr>
        <w:top w:val="none" w:sz="0" w:space="0" w:color="auto"/>
        <w:left w:val="none" w:sz="0" w:space="0" w:color="auto"/>
        <w:bottom w:val="none" w:sz="0" w:space="0" w:color="auto"/>
        <w:right w:val="none" w:sz="0" w:space="0" w:color="auto"/>
      </w:divBdr>
    </w:div>
    <w:div w:id="75441301">
      <w:marLeft w:val="0"/>
      <w:marRight w:val="0"/>
      <w:marTop w:val="10"/>
      <w:marBottom w:val="10"/>
      <w:divBdr>
        <w:top w:val="none" w:sz="0" w:space="0" w:color="auto"/>
        <w:left w:val="none" w:sz="0" w:space="0" w:color="auto"/>
        <w:bottom w:val="none" w:sz="0" w:space="0" w:color="auto"/>
        <w:right w:val="none" w:sz="0" w:space="0" w:color="auto"/>
      </w:divBdr>
    </w:div>
    <w:div w:id="143011668">
      <w:marLeft w:val="0"/>
      <w:marRight w:val="720"/>
      <w:marTop w:val="10"/>
      <w:marBottom w:val="10"/>
      <w:divBdr>
        <w:top w:val="none" w:sz="0" w:space="0" w:color="auto"/>
        <w:left w:val="none" w:sz="0" w:space="0" w:color="auto"/>
        <w:bottom w:val="none" w:sz="0" w:space="0" w:color="auto"/>
        <w:right w:val="none" w:sz="0" w:space="0" w:color="auto"/>
      </w:divBdr>
    </w:div>
    <w:div w:id="305621360">
      <w:marLeft w:val="0"/>
      <w:marRight w:val="720"/>
      <w:marTop w:val="10"/>
      <w:marBottom w:val="10"/>
      <w:divBdr>
        <w:top w:val="none" w:sz="0" w:space="0" w:color="auto"/>
        <w:left w:val="none" w:sz="0" w:space="0" w:color="auto"/>
        <w:bottom w:val="none" w:sz="0" w:space="0" w:color="auto"/>
        <w:right w:val="none" w:sz="0" w:space="0" w:color="auto"/>
      </w:divBdr>
    </w:div>
    <w:div w:id="405078319">
      <w:marLeft w:val="0"/>
      <w:marRight w:val="0"/>
      <w:marTop w:val="10"/>
      <w:marBottom w:val="10"/>
      <w:divBdr>
        <w:top w:val="none" w:sz="0" w:space="0" w:color="auto"/>
        <w:left w:val="none" w:sz="0" w:space="0" w:color="auto"/>
        <w:bottom w:val="none" w:sz="0" w:space="0" w:color="auto"/>
        <w:right w:val="none" w:sz="0" w:space="0" w:color="auto"/>
      </w:divBdr>
    </w:div>
    <w:div w:id="416170175">
      <w:marLeft w:val="0"/>
      <w:marRight w:val="0"/>
      <w:marTop w:val="10"/>
      <w:marBottom w:val="10"/>
      <w:divBdr>
        <w:top w:val="none" w:sz="0" w:space="0" w:color="auto"/>
        <w:left w:val="none" w:sz="0" w:space="0" w:color="auto"/>
        <w:bottom w:val="none" w:sz="0" w:space="0" w:color="auto"/>
        <w:right w:val="none" w:sz="0" w:space="0" w:color="auto"/>
      </w:divBdr>
    </w:div>
    <w:div w:id="526673238">
      <w:marLeft w:val="0"/>
      <w:marRight w:val="0"/>
      <w:marTop w:val="10"/>
      <w:marBottom w:val="10"/>
      <w:divBdr>
        <w:top w:val="none" w:sz="0" w:space="0" w:color="auto"/>
        <w:left w:val="none" w:sz="0" w:space="0" w:color="auto"/>
        <w:bottom w:val="none" w:sz="0" w:space="0" w:color="auto"/>
        <w:right w:val="none" w:sz="0" w:space="0" w:color="auto"/>
      </w:divBdr>
    </w:div>
    <w:div w:id="678967496">
      <w:marLeft w:val="0"/>
      <w:marRight w:val="720"/>
      <w:marTop w:val="10"/>
      <w:marBottom w:val="10"/>
      <w:divBdr>
        <w:top w:val="none" w:sz="0" w:space="0" w:color="auto"/>
        <w:left w:val="none" w:sz="0" w:space="0" w:color="auto"/>
        <w:bottom w:val="none" w:sz="0" w:space="0" w:color="auto"/>
        <w:right w:val="none" w:sz="0" w:space="0" w:color="auto"/>
      </w:divBdr>
    </w:div>
    <w:div w:id="705106415">
      <w:marLeft w:val="0"/>
      <w:marRight w:val="0"/>
      <w:marTop w:val="10"/>
      <w:marBottom w:val="10"/>
      <w:divBdr>
        <w:top w:val="none" w:sz="0" w:space="0" w:color="auto"/>
        <w:left w:val="none" w:sz="0" w:space="0" w:color="auto"/>
        <w:bottom w:val="none" w:sz="0" w:space="0" w:color="auto"/>
        <w:right w:val="none" w:sz="0" w:space="0" w:color="auto"/>
      </w:divBdr>
    </w:div>
    <w:div w:id="758214234">
      <w:marLeft w:val="0"/>
      <w:marRight w:val="0"/>
      <w:marTop w:val="10"/>
      <w:marBottom w:val="10"/>
      <w:divBdr>
        <w:top w:val="none" w:sz="0" w:space="0" w:color="auto"/>
        <w:left w:val="none" w:sz="0" w:space="0" w:color="auto"/>
        <w:bottom w:val="none" w:sz="0" w:space="0" w:color="auto"/>
        <w:right w:val="none" w:sz="0" w:space="0" w:color="auto"/>
      </w:divBdr>
    </w:div>
    <w:div w:id="1169447885">
      <w:marLeft w:val="0"/>
      <w:marRight w:val="0"/>
      <w:marTop w:val="10"/>
      <w:marBottom w:val="10"/>
      <w:divBdr>
        <w:top w:val="none" w:sz="0" w:space="0" w:color="auto"/>
        <w:left w:val="none" w:sz="0" w:space="0" w:color="auto"/>
        <w:bottom w:val="none" w:sz="0" w:space="0" w:color="auto"/>
        <w:right w:val="none" w:sz="0" w:space="0" w:color="auto"/>
      </w:divBdr>
    </w:div>
    <w:div w:id="1745570212">
      <w:marLeft w:val="0"/>
      <w:marRight w:val="720"/>
      <w:marTop w:val="10"/>
      <w:marBottom w:val="10"/>
      <w:divBdr>
        <w:top w:val="none" w:sz="0" w:space="0" w:color="auto"/>
        <w:left w:val="none" w:sz="0" w:space="0" w:color="auto"/>
        <w:bottom w:val="none" w:sz="0" w:space="0" w:color="auto"/>
        <w:right w:val="none" w:sz="0" w:space="0" w:color="auto"/>
      </w:divBdr>
    </w:div>
    <w:div w:id="1770274940">
      <w:marLeft w:val="0"/>
      <w:marRight w:val="0"/>
      <w:marTop w:val="10"/>
      <w:marBottom w:val="10"/>
      <w:divBdr>
        <w:top w:val="none" w:sz="0" w:space="0" w:color="auto"/>
        <w:left w:val="none" w:sz="0" w:space="0" w:color="auto"/>
        <w:bottom w:val="none" w:sz="0" w:space="0" w:color="auto"/>
        <w:right w:val="none" w:sz="0" w:space="0" w:color="auto"/>
      </w:divBdr>
    </w:div>
    <w:div w:id="1896236937">
      <w:marLeft w:val="0"/>
      <w:marRight w:val="0"/>
      <w:marTop w:val="10"/>
      <w:marBottom w:val="10"/>
      <w:divBdr>
        <w:top w:val="none" w:sz="0" w:space="0" w:color="auto"/>
        <w:left w:val="none" w:sz="0" w:space="0" w:color="auto"/>
        <w:bottom w:val="none" w:sz="0" w:space="0" w:color="auto"/>
        <w:right w:val="none" w:sz="0" w:space="0" w:color="auto"/>
      </w:divBdr>
    </w:div>
    <w:div w:id="1925531039">
      <w:marLeft w:val="0"/>
      <w:marRight w:val="0"/>
      <w:marTop w:val="10"/>
      <w:marBottom w:val="10"/>
      <w:divBdr>
        <w:top w:val="none" w:sz="0" w:space="0" w:color="auto"/>
        <w:left w:val="none" w:sz="0" w:space="0" w:color="auto"/>
        <w:bottom w:val="none" w:sz="0" w:space="0" w:color="auto"/>
        <w:right w:val="none" w:sz="0" w:space="0" w:color="auto"/>
      </w:divBdr>
    </w:div>
    <w:div w:id="1940866743">
      <w:marLeft w:val="0"/>
      <w:marRight w:val="0"/>
      <w:marTop w:val="10"/>
      <w:marBottom w:val="10"/>
      <w:divBdr>
        <w:top w:val="none" w:sz="0" w:space="0" w:color="auto"/>
        <w:left w:val="none" w:sz="0" w:space="0" w:color="auto"/>
        <w:bottom w:val="none" w:sz="0" w:space="0" w:color="auto"/>
        <w:right w:val="none" w:sz="0" w:space="0" w:color="auto"/>
      </w:divBdr>
    </w:div>
    <w:div w:id="1942957736">
      <w:marLeft w:val="0"/>
      <w:marRight w:val="0"/>
      <w:marTop w:val="10"/>
      <w:marBottom w:val="10"/>
      <w:divBdr>
        <w:top w:val="none" w:sz="0" w:space="0" w:color="auto"/>
        <w:left w:val="none" w:sz="0" w:space="0" w:color="auto"/>
        <w:bottom w:val="none" w:sz="0" w:space="0" w:color="auto"/>
        <w:right w:val="none" w:sz="0" w:space="0" w:color="auto"/>
      </w:divBdr>
    </w:div>
    <w:div w:id="2035768420">
      <w:marLeft w:val="0"/>
      <w:marRight w:val="720"/>
      <w:marTop w:val="10"/>
      <w:marBottom w:val="10"/>
      <w:divBdr>
        <w:top w:val="none" w:sz="0" w:space="0" w:color="auto"/>
        <w:left w:val="none" w:sz="0" w:space="0" w:color="auto"/>
        <w:bottom w:val="none" w:sz="0" w:space="0" w:color="auto"/>
        <w:right w:val="none" w:sz="0" w:space="0" w:color="auto"/>
      </w:divBdr>
    </w:div>
    <w:div w:id="20888460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