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54601" w14:textId="77777777" w:rsidR="00F5642B" w:rsidRDefault="00F5642B">
      <w:pPr>
        <w:spacing w:line="500" w:lineRule="atLeast"/>
        <w:jc w:val="center"/>
        <w:divId w:val="1565292913"/>
        <w:rPr>
          <w:rFonts w:ascii="黑体" w:eastAsia="黑体" w:hAnsi="黑体"/>
          <w:sz w:val="36"/>
          <w:szCs w:val="36"/>
        </w:rPr>
      </w:pPr>
      <w:r>
        <w:rPr>
          <w:rFonts w:ascii="黑体" w:eastAsia="黑体" w:hAnsi="黑体" w:hint="eastAsia"/>
          <w:sz w:val="36"/>
          <w:szCs w:val="36"/>
        </w:rPr>
        <w:t>广东省开平市人民法院</w:t>
      </w:r>
    </w:p>
    <w:p w14:paraId="673B5147" w14:textId="77777777" w:rsidR="00F5642B" w:rsidRDefault="00F5642B">
      <w:pPr>
        <w:spacing w:line="500" w:lineRule="atLeast"/>
        <w:jc w:val="center"/>
        <w:divId w:val="3282925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AA047B" w14:textId="77777777" w:rsidR="00F5642B" w:rsidRDefault="00F5642B">
      <w:pPr>
        <w:spacing w:line="500" w:lineRule="atLeast"/>
        <w:jc w:val="right"/>
        <w:divId w:val="68741286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466</w:t>
      </w:r>
      <w:r>
        <w:rPr>
          <w:rFonts w:hint="eastAsia"/>
          <w:sz w:val="30"/>
          <w:szCs w:val="30"/>
        </w:rPr>
        <w:t>号</w:t>
      </w:r>
    </w:p>
    <w:p w14:paraId="3A7ACDE8" w14:textId="77777777" w:rsidR="00F5642B" w:rsidRDefault="00F5642B">
      <w:pPr>
        <w:spacing w:line="500" w:lineRule="atLeast"/>
        <w:ind w:firstLine="600"/>
        <w:divId w:val="725109502"/>
        <w:rPr>
          <w:rFonts w:hint="eastAsia"/>
          <w:sz w:val="30"/>
          <w:szCs w:val="30"/>
        </w:rPr>
      </w:pPr>
      <w:r>
        <w:rPr>
          <w:rFonts w:hint="eastAsia"/>
          <w:sz w:val="30"/>
          <w:szCs w:val="30"/>
        </w:rPr>
        <w:t>公诉机关广东省开平市人民检察院。</w:t>
      </w:r>
    </w:p>
    <w:p w14:paraId="143A145A" w14:textId="77777777" w:rsidR="00F5642B" w:rsidRDefault="00F5642B">
      <w:pPr>
        <w:spacing w:line="500" w:lineRule="atLeast"/>
        <w:ind w:firstLine="600"/>
        <w:divId w:val="198394363"/>
        <w:rPr>
          <w:rFonts w:hint="eastAsia"/>
          <w:sz w:val="30"/>
          <w:szCs w:val="30"/>
        </w:rPr>
      </w:pPr>
      <w:r>
        <w:rPr>
          <w:rFonts w:hint="eastAsia"/>
          <w:sz w:val="30"/>
          <w:szCs w:val="30"/>
        </w:rPr>
        <w:t>被告人余卓慧，男，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日出生于广东省开平市，汉族，本科文化，户籍地：开平市，现住：开平市，原系开平市苍城镇委副书记、镇长。因本案于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日被开平市监察委员会采取留置措施，</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w:t>
      </w:r>
    </w:p>
    <w:p w14:paraId="132B76B9" w14:textId="77777777" w:rsidR="00F5642B" w:rsidRDefault="00F5642B">
      <w:pPr>
        <w:spacing w:line="500" w:lineRule="atLeast"/>
        <w:ind w:firstLine="600"/>
        <w:divId w:val="1335179848"/>
        <w:rPr>
          <w:rFonts w:hint="eastAsia"/>
          <w:sz w:val="30"/>
          <w:szCs w:val="30"/>
        </w:rPr>
      </w:pPr>
      <w:r>
        <w:rPr>
          <w:rFonts w:hint="eastAsia"/>
          <w:sz w:val="30"/>
          <w:szCs w:val="30"/>
        </w:rPr>
        <w:t>辩护人杨志勇，广东风采新纪元律师事务所律师。</w:t>
      </w:r>
    </w:p>
    <w:p w14:paraId="05764943" w14:textId="77777777" w:rsidR="00F5642B" w:rsidRDefault="00F5642B">
      <w:pPr>
        <w:spacing w:line="500" w:lineRule="atLeast"/>
        <w:ind w:firstLine="600"/>
        <w:divId w:val="1786732645"/>
        <w:rPr>
          <w:rFonts w:hint="eastAsia"/>
          <w:sz w:val="30"/>
          <w:szCs w:val="30"/>
        </w:rPr>
      </w:pPr>
      <w:r>
        <w:rPr>
          <w:rFonts w:hint="eastAsia"/>
          <w:sz w:val="30"/>
          <w:szCs w:val="30"/>
        </w:rPr>
        <w:t>开平市人民检察院以开检诉刑诉（</w:t>
      </w:r>
      <w:r>
        <w:rPr>
          <w:rFonts w:hint="eastAsia"/>
          <w:sz w:val="30"/>
          <w:szCs w:val="30"/>
        </w:rPr>
        <w:t>2018</w:t>
      </w:r>
      <w:r>
        <w:rPr>
          <w:rFonts w:hint="eastAsia"/>
          <w:sz w:val="30"/>
          <w:szCs w:val="30"/>
        </w:rPr>
        <w:t>）</w:t>
      </w:r>
      <w:r>
        <w:rPr>
          <w:rFonts w:hint="eastAsia"/>
          <w:sz w:val="30"/>
          <w:szCs w:val="30"/>
        </w:rPr>
        <w:t>421</w:t>
      </w:r>
      <w:r>
        <w:rPr>
          <w:rFonts w:hint="eastAsia"/>
          <w:sz w:val="30"/>
          <w:szCs w:val="30"/>
        </w:rPr>
        <w:t>号起诉书指控被告人余卓慧犯受贿罪、贪污罪、挪用公款罪，于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开平市人民检察院指派检察员伦杰文、代理检察员陈丽芬出庭支持公诉，被告人余卓慧及其辩护人杨志勇到庭参加了诉讼。现已审理终结。</w:t>
      </w:r>
    </w:p>
    <w:p w14:paraId="25E54FB5" w14:textId="77777777" w:rsidR="00F5642B" w:rsidRDefault="00F5642B">
      <w:pPr>
        <w:spacing w:line="500" w:lineRule="atLeast"/>
        <w:ind w:firstLine="600"/>
        <w:divId w:val="95768446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余卓慧在担任苍城镇党委副书记、镇长期间，其利用主持镇府全面工作的职务之便，在企业办证、环评、立项、生产经营、土地置换、扩建和工程发包、支付结算工程款、验收、开具发票等环节提供帮助，分别在春节、中秋节、新屋入伙、购车时，先后收受许某、谢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、朱某、潘某、陈某</w:t>
      </w:r>
      <w:r>
        <w:rPr>
          <w:rFonts w:hint="eastAsia"/>
          <w:sz w:val="30"/>
          <w:szCs w:val="30"/>
        </w:rPr>
        <w:t>2</w:t>
      </w:r>
      <w:r>
        <w:rPr>
          <w:rFonts w:hint="eastAsia"/>
          <w:sz w:val="30"/>
          <w:szCs w:val="30"/>
        </w:rPr>
        <w:t>、方某的好处费合计人民币</w:t>
      </w:r>
      <w:r>
        <w:rPr>
          <w:rFonts w:hint="eastAsia"/>
          <w:sz w:val="30"/>
          <w:szCs w:val="30"/>
        </w:rPr>
        <w:t>327400</w:t>
      </w:r>
      <w:r>
        <w:rPr>
          <w:rFonts w:hint="eastAsia"/>
          <w:sz w:val="30"/>
          <w:szCs w:val="30"/>
        </w:rPr>
        <w:t>元。案发后，被告人余卓慧退出赃款</w:t>
      </w:r>
      <w:r>
        <w:rPr>
          <w:rFonts w:hint="eastAsia"/>
          <w:sz w:val="30"/>
          <w:szCs w:val="30"/>
        </w:rPr>
        <w:t>327400</w:t>
      </w:r>
      <w:r>
        <w:rPr>
          <w:rFonts w:hint="eastAsia"/>
          <w:sz w:val="30"/>
          <w:szCs w:val="30"/>
        </w:rPr>
        <w:t>元。</w:t>
      </w:r>
    </w:p>
    <w:p w14:paraId="692F875A" w14:textId="77777777" w:rsidR="00F5642B" w:rsidRDefault="00F5642B">
      <w:pPr>
        <w:spacing w:line="500" w:lineRule="atLeast"/>
        <w:ind w:firstLine="600"/>
        <w:divId w:val="1025596529"/>
        <w:rPr>
          <w:rFonts w:hint="eastAsia"/>
          <w:sz w:val="30"/>
          <w:szCs w:val="30"/>
        </w:rPr>
      </w:pPr>
      <w:r>
        <w:rPr>
          <w:rFonts w:hint="eastAsia"/>
          <w:sz w:val="30"/>
          <w:szCs w:val="30"/>
        </w:rPr>
        <w:t>2016</w:t>
      </w:r>
      <w:r>
        <w:rPr>
          <w:rFonts w:hint="eastAsia"/>
          <w:sz w:val="30"/>
          <w:szCs w:val="30"/>
        </w:rPr>
        <w:t>年年初至</w:t>
      </w:r>
      <w:r>
        <w:rPr>
          <w:rFonts w:hint="eastAsia"/>
          <w:sz w:val="30"/>
          <w:szCs w:val="30"/>
        </w:rPr>
        <w:t>2017</w:t>
      </w:r>
      <w:r>
        <w:rPr>
          <w:rFonts w:hint="eastAsia"/>
          <w:sz w:val="30"/>
          <w:szCs w:val="30"/>
        </w:rPr>
        <w:t>年年初，被告人余卓慧利用其担任苍城镇镇长、主管镇府全面工作的便利，违反财务报销制度，以其本人先签名再让分管领导签名的方式，将通过开平市苍城镇龙恒商行老板麦某虚开的盖章为“开平市水口镇梓记蔬菜店”</w:t>
      </w:r>
      <w:r>
        <w:rPr>
          <w:rFonts w:hint="eastAsia"/>
          <w:sz w:val="30"/>
          <w:szCs w:val="30"/>
        </w:rPr>
        <w:lastRenderedPageBreak/>
        <w:t>的发票报销得款人民币</w:t>
      </w:r>
      <w:r>
        <w:rPr>
          <w:rFonts w:hint="eastAsia"/>
          <w:sz w:val="30"/>
          <w:szCs w:val="30"/>
        </w:rPr>
        <w:t>193995</w:t>
      </w:r>
      <w:r>
        <w:rPr>
          <w:rFonts w:hint="eastAsia"/>
          <w:sz w:val="30"/>
          <w:szCs w:val="30"/>
        </w:rPr>
        <w:t>元，除</w:t>
      </w:r>
      <w:r>
        <w:rPr>
          <w:rFonts w:hint="eastAsia"/>
          <w:sz w:val="30"/>
          <w:szCs w:val="30"/>
        </w:rPr>
        <w:t>90000</w:t>
      </w:r>
      <w:r>
        <w:rPr>
          <w:rFonts w:hint="eastAsia"/>
          <w:sz w:val="30"/>
          <w:szCs w:val="30"/>
        </w:rPr>
        <w:t>元用于征地、维稳支出以外，剩余</w:t>
      </w:r>
      <w:r>
        <w:rPr>
          <w:rFonts w:hint="eastAsia"/>
          <w:sz w:val="30"/>
          <w:szCs w:val="30"/>
        </w:rPr>
        <w:t>103995</w:t>
      </w:r>
      <w:r>
        <w:rPr>
          <w:rFonts w:hint="eastAsia"/>
          <w:sz w:val="30"/>
          <w:szCs w:val="30"/>
        </w:rPr>
        <w:t>元用于其个人日常开支。案发后，被告人余卓慧退出赃款</w:t>
      </w:r>
      <w:r>
        <w:rPr>
          <w:rFonts w:hint="eastAsia"/>
          <w:sz w:val="30"/>
          <w:szCs w:val="30"/>
        </w:rPr>
        <w:t>103995</w:t>
      </w:r>
      <w:r>
        <w:rPr>
          <w:rFonts w:hint="eastAsia"/>
          <w:sz w:val="30"/>
          <w:szCs w:val="30"/>
        </w:rPr>
        <w:t>元。</w:t>
      </w:r>
    </w:p>
    <w:p w14:paraId="5F68752A" w14:textId="77777777" w:rsidR="00F5642B" w:rsidRDefault="00F5642B">
      <w:pPr>
        <w:spacing w:line="500" w:lineRule="atLeast"/>
        <w:ind w:firstLine="600"/>
        <w:divId w:val="1949044291"/>
        <w:rPr>
          <w:rFonts w:hint="eastAsia"/>
          <w:sz w:val="30"/>
          <w:szCs w:val="30"/>
        </w:rPr>
      </w:pPr>
      <w:r>
        <w:rPr>
          <w:rFonts w:hint="eastAsia"/>
          <w:sz w:val="30"/>
          <w:szCs w:val="30"/>
        </w:rPr>
        <w:t>余卓慧违反财务管理规定，以征地工作费、征地业务费的名义，分两次从苍城镇兴业投资服务中心（苍城镇府下属企业、集体所有制）借款共</w:t>
      </w:r>
      <w:r>
        <w:rPr>
          <w:rFonts w:hint="eastAsia"/>
          <w:sz w:val="30"/>
          <w:szCs w:val="30"/>
        </w:rPr>
        <w:t>50</w:t>
      </w:r>
      <w:r>
        <w:rPr>
          <w:rFonts w:hint="eastAsia"/>
          <w:sz w:val="30"/>
          <w:szCs w:val="30"/>
        </w:rPr>
        <w:t>万元归个人使用：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日借款</w:t>
      </w:r>
      <w:r>
        <w:rPr>
          <w:rFonts w:hint="eastAsia"/>
          <w:sz w:val="30"/>
          <w:szCs w:val="30"/>
        </w:rPr>
        <w:t>300000</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日，余卓慧将所借钱款中的</w:t>
      </w:r>
      <w:r>
        <w:rPr>
          <w:rFonts w:hint="eastAsia"/>
          <w:sz w:val="30"/>
          <w:szCs w:val="30"/>
        </w:rPr>
        <w:t>100000</w:t>
      </w:r>
      <w:r>
        <w:rPr>
          <w:rFonts w:hint="eastAsia"/>
          <w:sz w:val="30"/>
          <w:szCs w:val="30"/>
        </w:rPr>
        <w:t>元通过转账的方式借给其连襟苏某用于生意周转，同年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日，苏某归还借款。余卓慧将该</w:t>
      </w:r>
      <w:r>
        <w:rPr>
          <w:rFonts w:hint="eastAsia"/>
          <w:sz w:val="30"/>
          <w:szCs w:val="30"/>
        </w:rPr>
        <w:t>100000</w:t>
      </w:r>
      <w:r>
        <w:rPr>
          <w:rFonts w:hint="eastAsia"/>
          <w:sz w:val="30"/>
          <w:szCs w:val="30"/>
        </w:rPr>
        <w:t>元存入其尾号为</w:t>
      </w:r>
      <w:r>
        <w:rPr>
          <w:rFonts w:hint="eastAsia"/>
          <w:sz w:val="30"/>
          <w:szCs w:val="30"/>
        </w:rPr>
        <w:t>0234</w:t>
      </w:r>
      <w:r>
        <w:rPr>
          <w:rFonts w:hint="eastAsia"/>
          <w:sz w:val="30"/>
          <w:szCs w:val="30"/>
        </w:rPr>
        <w:t>的农信社卡内，用于其还贷及日常开支，将另外</w:t>
      </w:r>
      <w:r>
        <w:rPr>
          <w:rFonts w:hint="eastAsia"/>
          <w:sz w:val="30"/>
          <w:szCs w:val="30"/>
        </w:rPr>
        <w:t>200000</w:t>
      </w:r>
      <w:r>
        <w:rPr>
          <w:rFonts w:hint="eastAsia"/>
          <w:sz w:val="30"/>
          <w:szCs w:val="30"/>
        </w:rPr>
        <w:t>元存入其妻子谢某</w:t>
      </w:r>
      <w:r>
        <w:rPr>
          <w:rFonts w:hint="eastAsia"/>
          <w:sz w:val="30"/>
          <w:szCs w:val="30"/>
        </w:rPr>
        <w:t>3</w:t>
      </w:r>
      <w:r>
        <w:rPr>
          <w:rFonts w:hint="eastAsia"/>
          <w:sz w:val="30"/>
          <w:szCs w:val="30"/>
        </w:rPr>
        <w:t>尾号为</w:t>
      </w:r>
      <w:r>
        <w:rPr>
          <w:rFonts w:hint="eastAsia"/>
          <w:sz w:val="30"/>
          <w:szCs w:val="30"/>
        </w:rPr>
        <w:t>1421</w:t>
      </w:r>
      <w:r>
        <w:rPr>
          <w:rFonts w:hint="eastAsia"/>
          <w:sz w:val="30"/>
          <w:szCs w:val="30"/>
        </w:rPr>
        <w:t>的农信社卡内，其中，</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50000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日存入</w:t>
      </w:r>
      <w:r>
        <w:rPr>
          <w:rFonts w:hint="eastAsia"/>
          <w:sz w:val="30"/>
          <w:szCs w:val="30"/>
        </w:rPr>
        <w:t>150000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日又借款</w:t>
      </w:r>
      <w:r>
        <w:rPr>
          <w:rFonts w:hint="eastAsia"/>
          <w:sz w:val="30"/>
          <w:szCs w:val="30"/>
        </w:rPr>
        <w:t>200000</w:t>
      </w:r>
      <w:r>
        <w:rPr>
          <w:rFonts w:hint="eastAsia"/>
          <w:sz w:val="30"/>
          <w:szCs w:val="30"/>
        </w:rPr>
        <w:t>元，同年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日，余卓慧将其中</w:t>
      </w:r>
      <w:r>
        <w:rPr>
          <w:rFonts w:hint="eastAsia"/>
          <w:sz w:val="30"/>
          <w:szCs w:val="30"/>
        </w:rPr>
        <w:t>140000</w:t>
      </w:r>
      <w:r>
        <w:rPr>
          <w:rFonts w:hint="eastAsia"/>
          <w:sz w:val="30"/>
          <w:szCs w:val="30"/>
        </w:rPr>
        <w:t>元存入其尾号为</w:t>
      </w:r>
      <w:r>
        <w:rPr>
          <w:rFonts w:hint="eastAsia"/>
          <w:sz w:val="30"/>
          <w:szCs w:val="30"/>
        </w:rPr>
        <w:t>0234</w:t>
      </w:r>
      <w:r>
        <w:rPr>
          <w:rFonts w:hint="eastAsia"/>
          <w:sz w:val="30"/>
          <w:szCs w:val="30"/>
        </w:rPr>
        <w:t>的农信社卡内，</w:t>
      </w:r>
      <w:r>
        <w:rPr>
          <w:rFonts w:hint="eastAsia"/>
          <w:sz w:val="30"/>
          <w:szCs w:val="30"/>
        </w:rPr>
        <w:t>100000</w:t>
      </w:r>
      <w:r>
        <w:rPr>
          <w:rFonts w:hint="eastAsia"/>
          <w:sz w:val="30"/>
          <w:szCs w:val="30"/>
        </w:rPr>
        <w:t>元用于偿还车贷，</w:t>
      </w:r>
      <w:r>
        <w:rPr>
          <w:rFonts w:hint="eastAsia"/>
          <w:sz w:val="30"/>
          <w:szCs w:val="30"/>
        </w:rPr>
        <w:t>40000</w:t>
      </w:r>
      <w:r>
        <w:rPr>
          <w:rFonts w:hint="eastAsia"/>
          <w:sz w:val="30"/>
          <w:szCs w:val="30"/>
        </w:rPr>
        <w:t>元用于日常开支，另外</w:t>
      </w:r>
      <w:r>
        <w:rPr>
          <w:rFonts w:hint="eastAsia"/>
          <w:sz w:val="30"/>
          <w:szCs w:val="30"/>
        </w:rPr>
        <w:t>60000</w:t>
      </w:r>
      <w:r>
        <w:rPr>
          <w:rFonts w:hint="eastAsia"/>
          <w:sz w:val="30"/>
          <w:szCs w:val="30"/>
        </w:rPr>
        <w:t>元放于其保险柜。</w:t>
      </w:r>
    </w:p>
    <w:p w14:paraId="4563B48F" w14:textId="77777777" w:rsidR="00F5642B" w:rsidRDefault="00F5642B">
      <w:pPr>
        <w:spacing w:line="500" w:lineRule="atLeast"/>
        <w:ind w:firstLine="600"/>
        <w:divId w:val="607002296"/>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日，市委第一巡察组在巡察中发现余卓慧的借款情况。同日，余卓慧将</w:t>
      </w:r>
      <w:r>
        <w:rPr>
          <w:rFonts w:hint="eastAsia"/>
          <w:sz w:val="30"/>
          <w:szCs w:val="30"/>
        </w:rPr>
        <w:t>500000</w:t>
      </w:r>
      <w:r>
        <w:rPr>
          <w:rFonts w:hint="eastAsia"/>
          <w:sz w:val="30"/>
          <w:szCs w:val="30"/>
        </w:rPr>
        <w:t>元存入兴业投资服务中心账户用于偿还上述所借款项，开平市监察委员会通知余卓慧接受询问，余卓慧如实交代了挪用公款的事实，</w:t>
      </w:r>
      <w:r>
        <w:rPr>
          <w:rFonts w:hint="eastAsia"/>
          <w:sz w:val="30"/>
          <w:szCs w:val="30"/>
        </w:rPr>
        <w:t>4</w:t>
      </w:r>
      <w:r>
        <w:rPr>
          <w:rFonts w:hint="eastAsia"/>
          <w:sz w:val="30"/>
          <w:szCs w:val="30"/>
        </w:rPr>
        <w:t>日，开平市监察委员会对余卓慧决定立案调查并采取留置措施，余卓慧如实供述了监察委员会未掌握的上述贪污、受贿犯罪事实。</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p>
    <w:p w14:paraId="1D12A5CC" w14:textId="77777777" w:rsidR="00F5642B" w:rsidRDefault="00F5642B">
      <w:pPr>
        <w:spacing w:line="500" w:lineRule="atLeast"/>
        <w:ind w:firstLine="600"/>
        <w:divId w:val="484395943"/>
        <w:rPr>
          <w:rFonts w:hint="eastAsia"/>
          <w:sz w:val="30"/>
          <w:szCs w:val="30"/>
        </w:rPr>
      </w:pPr>
      <w:r>
        <w:rPr>
          <w:rFonts w:hint="eastAsia"/>
          <w:sz w:val="30"/>
          <w:szCs w:val="30"/>
        </w:rPr>
        <w:t>上述事实，被告人及其辩护人在开庭审理过程中无异议，且有证人祝某、张某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、许某、陈某</w:t>
      </w:r>
      <w:r>
        <w:rPr>
          <w:rFonts w:hint="eastAsia"/>
          <w:sz w:val="30"/>
          <w:szCs w:val="30"/>
        </w:rPr>
        <w:t>1</w:t>
      </w:r>
      <w:r>
        <w:rPr>
          <w:rFonts w:hint="eastAsia"/>
          <w:sz w:val="30"/>
          <w:szCs w:val="30"/>
        </w:rPr>
        <w:t>、朱某、陈某</w:t>
      </w:r>
      <w:r>
        <w:rPr>
          <w:rFonts w:hint="eastAsia"/>
          <w:sz w:val="30"/>
          <w:szCs w:val="30"/>
        </w:rPr>
        <w:t>2</w:t>
      </w:r>
      <w:r>
        <w:rPr>
          <w:rFonts w:hint="eastAsia"/>
          <w:sz w:val="30"/>
          <w:szCs w:val="30"/>
        </w:rPr>
        <w:t>、潘某、方某、麦某、张某</w:t>
      </w:r>
      <w:r>
        <w:rPr>
          <w:rFonts w:hint="eastAsia"/>
          <w:sz w:val="30"/>
          <w:szCs w:val="30"/>
        </w:rPr>
        <w:t>2</w:t>
      </w:r>
      <w:r>
        <w:rPr>
          <w:rFonts w:hint="eastAsia"/>
          <w:sz w:val="30"/>
          <w:szCs w:val="30"/>
        </w:rPr>
        <w:t>、甄某</w:t>
      </w:r>
      <w:r>
        <w:rPr>
          <w:rFonts w:hint="eastAsia"/>
          <w:sz w:val="30"/>
          <w:szCs w:val="30"/>
        </w:rPr>
        <w:t>1</w:t>
      </w:r>
      <w:r>
        <w:rPr>
          <w:rFonts w:hint="eastAsia"/>
          <w:sz w:val="30"/>
          <w:szCs w:val="30"/>
        </w:rPr>
        <w:t>、谢某</w:t>
      </w:r>
      <w:r>
        <w:rPr>
          <w:rFonts w:hint="eastAsia"/>
          <w:sz w:val="30"/>
          <w:szCs w:val="30"/>
        </w:rPr>
        <w:t>2</w:t>
      </w:r>
      <w:r>
        <w:rPr>
          <w:rFonts w:hint="eastAsia"/>
          <w:sz w:val="30"/>
          <w:szCs w:val="30"/>
        </w:rPr>
        <w:t>、余某、赵某、郑某、苏某、谢某</w:t>
      </w:r>
      <w:r>
        <w:rPr>
          <w:rFonts w:hint="eastAsia"/>
          <w:sz w:val="30"/>
          <w:szCs w:val="30"/>
        </w:rPr>
        <w:t>3</w:t>
      </w:r>
      <w:r>
        <w:rPr>
          <w:rFonts w:hint="eastAsia"/>
          <w:sz w:val="30"/>
          <w:szCs w:val="30"/>
        </w:rPr>
        <w:t>、劳某、包某、甄某</w:t>
      </w:r>
      <w:r>
        <w:rPr>
          <w:rFonts w:hint="eastAsia"/>
          <w:sz w:val="30"/>
          <w:szCs w:val="30"/>
        </w:rPr>
        <w:t>2</w:t>
      </w:r>
      <w:r>
        <w:rPr>
          <w:rFonts w:hint="eastAsia"/>
          <w:sz w:val="30"/>
          <w:szCs w:val="30"/>
        </w:rPr>
        <w:t>的证言，苍城镇财务管理、监督制度等文件材料，苍城镇委、镇府机构设置及领导班子分工等材料，企业营业执照、档案登记材料，借据、现金收据、存款单、银行交易清单及发票等书证，情况说明，履历表、任免通知书及户籍材料，到案经过等证据证实，足以认定。</w:t>
      </w:r>
    </w:p>
    <w:p w14:paraId="6F6F4066" w14:textId="77777777" w:rsidR="00F5642B" w:rsidRDefault="00F5642B">
      <w:pPr>
        <w:spacing w:line="500" w:lineRule="atLeast"/>
        <w:ind w:firstLine="600"/>
        <w:divId w:val="1702627465"/>
        <w:rPr>
          <w:rFonts w:hint="eastAsia"/>
          <w:sz w:val="30"/>
          <w:szCs w:val="30"/>
        </w:rPr>
      </w:pPr>
      <w:r>
        <w:rPr>
          <w:rFonts w:hint="eastAsia"/>
          <w:sz w:val="30"/>
          <w:szCs w:val="30"/>
        </w:rPr>
        <w:t>辩护人辩护称：被告人挪用公款的数额应为</w:t>
      </w:r>
      <w:r>
        <w:rPr>
          <w:rFonts w:hint="eastAsia"/>
          <w:sz w:val="30"/>
          <w:szCs w:val="30"/>
        </w:rPr>
        <w:t>300000</w:t>
      </w:r>
      <w:r>
        <w:rPr>
          <w:rFonts w:hint="eastAsia"/>
          <w:sz w:val="30"/>
          <w:szCs w:val="30"/>
        </w:rPr>
        <w:t>元，</w:t>
      </w:r>
      <w:r>
        <w:rPr>
          <w:rFonts w:hint="eastAsia"/>
          <w:sz w:val="30"/>
          <w:szCs w:val="30"/>
        </w:rPr>
        <w:t>2018</w:t>
      </w:r>
      <w:r>
        <w:rPr>
          <w:rFonts w:hint="eastAsia"/>
          <w:sz w:val="30"/>
          <w:szCs w:val="30"/>
        </w:rPr>
        <w:t>年挪用的</w:t>
      </w:r>
      <w:r>
        <w:rPr>
          <w:rFonts w:hint="eastAsia"/>
          <w:sz w:val="30"/>
          <w:szCs w:val="30"/>
        </w:rPr>
        <w:t>200000</w:t>
      </w:r>
      <w:r>
        <w:rPr>
          <w:rFonts w:hint="eastAsia"/>
          <w:sz w:val="30"/>
          <w:szCs w:val="30"/>
        </w:rPr>
        <w:t>元不超过</w:t>
      </w:r>
      <w:r>
        <w:rPr>
          <w:rFonts w:hint="eastAsia"/>
          <w:sz w:val="30"/>
          <w:szCs w:val="30"/>
        </w:rPr>
        <w:t>3</w:t>
      </w:r>
      <w:r>
        <w:rPr>
          <w:rFonts w:hint="eastAsia"/>
          <w:sz w:val="30"/>
          <w:szCs w:val="30"/>
        </w:rPr>
        <w:t>个月，且其中的</w:t>
      </w:r>
      <w:r>
        <w:rPr>
          <w:rFonts w:hint="eastAsia"/>
          <w:sz w:val="30"/>
          <w:szCs w:val="30"/>
        </w:rPr>
        <w:t>140000</w:t>
      </w:r>
      <w:r>
        <w:rPr>
          <w:rFonts w:hint="eastAsia"/>
          <w:sz w:val="30"/>
          <w:szCs w:val="30"/>
        </w:rPr>
        <w:t>元用于还贷及日常花费，此</w:t>
      </w:r>
      <w:r>
        <w:rPr>
          <w:rFonts w:hint="eastAsia"/>
          <w:sz w:val="30"/>
          <w:szCs w:val="30"/>
        </w:rPr>
        <w:t>200000</w:t>
      </w:r>
      <w:r>
        <w:rPr>
          <w:rFonts w:hint="eastAsia"/>
          <w:sz w:val="30"/>
          <w:szCs w:val="30"/>
        </w:rPr>
        <w:t>元不应计入；贪污的</w:t>
      </w:r>
      <w:r>
        <w:rPr>
          <w:rFonts w:hint="eastAsia"/>
          <w:sz w:val="30"/>
          <w:szCs w:val="30"/>
        </w:rPr>
        <w:t>103995</w:t>
      </w:r>
      <w:r>
        <w:rPr>
          <w:rFonts w:hint="eastAsia"/>
          <w:sz w:val="30"/>
          <w:szCs w:val="30"/>
        </w:rPr>
        <w:t>元中应扣除支付税款的</w:t>
      </w:r>
      <w:r>
        <w:rPr>
          <w:rFonts w:hint="eastAsia"/>
          <w:sz w:val="30"/>
          <w:szCs w:val="30"/>
        </w:rPr>
        <w:t>9500</w:t>
      </w:r>
      <w:r>
        <w:rPr>
          <w:rFonts w:hint="eastAsia"/>
          <w:sz w:val="30"/>
          <w:szCs w:val="30"/>
        </w:rPr>
        <w:t>元。被告人归案后有自首、坦白及清退全部赃款的情节，可适用缓刑。</w:t>
      </w:r>
    </w:p>
    <w:p w14:paraId="1A06793A" w14:textId="77777777" w:rsidR="00F5642B" w:rsidRDefault="00F5642B">
      <w:pPr>
        <w:spacing w:line="500" w:lineRule="atLeast"/>
        <w:ind w:firstLine="600"/>
        <w:divId w:val="100612102"/>
        <w:rPr>
          <w:rFonts w:hint="eastAsia"/>
          <w:sz w:val="30"/>
          <w:szCs w:val="30"/>
        </w:rPr>
      </w:pPr>
      <w:r>
        <w:rPr>
          <w:rFonts w:hint="eastAsia"/>
          <w:sz w:val="30"/>
          <w:szCs w:val="30"/>
        </w:rPr>
        <w:t>本院认为，被告人余卓慧身为国家工作人员，利用职务上的便利，收受他人财物，为他人谋取利益，数额巨大，其行为已构成受贿罪；利用职务上的便利，侵吞公共财产，数额较大，其行为已构成贪污罪；利用职务上的便利，挪用公款归个人使用，进行营利活动，数额较大，其行为已构成挪用公款罪。公诉机关指控被告人所犯罪名成立，定罪准确，证据充分，应予以刑罚。被告人一人犯三罪，对其应数罪并罚。被告人到案后坦白交代了监察机关已掌握的挪用公款的犯罪事实，又如实供述了监察机关未掌握的受贿、贪污的犯罪事实，并且退清了全部赃款，可以从轻处罚。被告人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日挪用的公款，用于非法活动、营利活动以外的用途，虽数额较大，但在</w:t>
      </w:r>
      <w:r>
        <w:rPr>
          <w:rFonts w:hint="eastAsia"/>
          <w:sz w:val="30"/>
          <w:szCs w:val="30"/>
        </w:rPr>
        <w:t>4</w:t>
      </w:r>
      <w:r>
        <w:rPr>
          <w:rFonts w:hint="eastAsia"/>
          <w:sz w:val="30"/>
          <w:szCs w:val="30"/>
        </w:rPr>
        <w:t>月</w:t>
      </w:r>
      <w:r>
        <w:rPr>
          <w:rFonts w:hint="eastAsia"/>
          <w:sz w:val="30"/>
          <w:szCs w:val="30"/>
        </w:rPr>
        <w:t>3</w:t>
      </w:r>
      <w:r>
        <w:rPr>
          <w:rFonts w:hint="eastAsia"/>
          <w:sz w:val="30"/>
          <w:szCs w:val="30"/>
        </w:rPr>
        <w:t>日已归还，挪用时间未超过三个月，故该挪用公款的行为不构成犯罪，辩护人的该项辩护意见，予以采纳；被告人报销虚开的发票侵吞公款，支付发票税款的费用也是在其贪污的款项中支付的，故其贪污的数额应是发票的总额，辩护人的该项辩护意见，不予采纳。依照《中华人民共和国刑法》第三百八十五条第一款、第三百八十六条、第三百八十二条第一款、第三百八十三条第一款第（一）、（二）项及第二款、第三款、第三百八十四条第一款、第六十九条第一、二款、第六十七条第一、三款、第五十二条、第五十三条、第六十四条的规定，判决如下：</w:t>
      </w:r>
    </w:p>
    <w:p w14:paraId="05655667" w14:textId="77777777" w:rsidR="00F5642B" w:rsidRDefault="00F5642B">
      <w:pPr>
        <w:spacing w:line="500" w:lineRule="atLeast"/>
        <w:ind w:firstLine="600"/>
        <w:divId w:val="1340767390"/>
        <w:rPr>
          <w:rFonts w:hint="eastAsia"/>
          <w:sz w:val="30"/>
          <w:szCs w:val="30"/>
        </w:rPr>
      </w:pPr>
      <w:r>
        <w:rPr>
          <w:rFonts w:hint="eastAsia"/>
          <w:sz w:val="30"/>
          <w:szCs w:val="30"/>
        </w:rPr>
        <w:t>一、被告人余卓慧犯受贿罪，判处有期徒刑三年，并处罚金</w:t>
      </w:r>
      <w:r>
        <w:rPr>
          <w:rFonts w:hint="eastAsia"/>
          <w:sz w:val="30"/>
          <w:szCs w:val="30"/>
        </w:rPr>
        <w:t>200000</w:t>
      </w:r>
      <w:r>
        <w:rPr>
          <w:rFonts w:hint="eastAsia"/>
          <w:sz w:val="30"/>
          <w:szCs w:val="30"/>
        </w:rPr>
        <w:t>元；犯贪污罪，判处有期徒刑一年，并处罚金</w:t>
      </w:r>
      <w:r>
        <w:rPr>
          <w:rFonts w:hint="eastAsia"/>
          <w:sz w:val="30"/>
          <w:szCs w:val="30"/>
        </w:rPr>
        <w:t>100000</w:t>
      </w:r>
      <w:r>
        <w:rPr>
          <w:rFonts w:hint="eastAsia"/>
          <w:sz w:val="30"/>
          <w:szCs w:val="30"/>
        </w:rPr>
        <w:t>元；犯挪用公款罪，判处拘役四个月。数罪并罚，决定执行有期徒刑四年，并处罚金</w:t>
      </w:r>
      <w:r>
        <w:rPr>
          <w:rFonts w:hint="eastAsia"/>
          <w:sz w:val="30"/>
          <w:szCs w:val="30"/>
        </w:rPr>
        <w:t>300000</w:t>
      </w:r>
      <w:r>
        <w:rPr>
          <w:rFonts w:hint="eastAsia"/>
          <w:sz w:val="30"/>
          <w:szCs w:val="30"/>
        </w:rPr>
        <w:t>元。</w:t>
      </w:r>
    </w:p>
    <w:p w14:paraId="1BB066F7" w14:textId="77777777" w:rsidR="00F5642B" w:rsidRDefault="00F5642B">
      <w:pPr>
        <w:spacing w:line="500" w:lineRule="atLeast"/>
        <w:ind w:firstLine="600"/>
        <w:divId w:val="14372853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日止。罚金应在本判决生效后</w:t>
      </w:r>
      <w:r>
        <w:rPr>
          <w:rFonts w:hint="eastAsia"/>
          <w:sz w:val="30"/>
          <w:szCs w:val="30"/>
        </w:rPr>
        <w:t>30</w:t>
      </w:r>
      <w:r>
        <w:rPr>
          <w:rFonts w:hint="eastAsia"/>
          <w:sz w:val="30"/>
          <w:szCs w:val="30"/>
        </w:rPr>
        <w:t>日内缴纳。）</w:t>
      </w:r>
    </w:p>
    <w:p w14:paraId="596AD863" w14:textId="77777777" w:rsidR="00F5642B" w:rsidRDefault="00F5642B">
      <w:pPr>
        <w:spacing w:line="500" w:lineRule="atLeast"/>
        <w:ind w:firstLine="600"/>
        <w:divId w:val="251817397"/>
        <w:rPr>
          <w:rFonts w:hint="eastAsia"/>
          <w:sz w:val="30"/>
          <w:szCs w:val="30"/>
        </w:rPr>
      </w:pPr>
      <w:r>
        <w:rPr>
          <w:rFonts w:hint="eastAsia"/>
          <w:sz w:val="30"/>
          <w:szCs w:val="30"/>
        </w:rPr>
        <w:t>二、被告人余卓慧退还的受贿款项</w:t>
      </w:r>
      <w:r>
        <w:rPr>
          <w:rFonts w:hint="eastAsia"/>
          <w:sz w:val="30"/>
          <w:szCs w:val="30"/>
        </w:rPr>
        <w:t>327400</w:t>
      </w:r>
      <w:r>
        <w:rPr>
          <w:rFonts w:hint="eastAsia"/>
          <w:sz w:val="30"/>
          <w:szCs w:val="30"/>
        </w:rPr>
        <w:t>元，予以没收，上缴国库；退还的贪污款项</w:t>
      </w:r>
      <w:r>
        <w:rPr>
          <w:rFonts w:hint="eastAsia"/>
          <w:sz w:val="30"/>
          <w:szCs w:val="30"/>
        </w:rPr>
        <w:t>103995</w:t>
      </w:r>
      <w:r>
        <w:rPr>
          <w:rFonts w:hint="eastAsia"/>
          <w:sz w:val="30"/>
          <w:szCs w:val="30"/>
        </w:rPr>
        <w:t>元，发还苍城镇府（退还款项均暂存于开平市监察委员会，由该委在本判决生效后</w:t>
      </w:r>
      <w:r>
        <w:rPr>
          <w:rFonts w:hint="eastAsia"/>
          <w:sz w:val="30"/>
          <w:szCs w:val="30"/>
        </w:rPr>
        <w:t>30</w:t>
      </w:r>
      <w:r>
        <w:rPr>
          <w:rFonts w:hint="eastAsia"/>
          <w:sz w:val="30"/>
          <w:szCs w:val="30"/>
        </w:rPr>
        <w:t>日内负责上缴及发还）。</w:t>
      </w:r>
    </w:p>
    <w:p w14:paraId="72FC32D1" w14:textId="77777777" w:rsidR="00F5642B" w:rsidRDefault="00F5642B">
      <w:pPr>
        <w:spacing w:line="500" w:lineRule="atLeast"/>
        <w:ind w:firstLine="600"/>
        <w:divId w:val="193705448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5036687F" w14:textId="77777777" w:rsidR="00F5642B" w:rsidRDefault="00F5642B">
      <w:pPr>
        <w:spacing w:line="500" w:lineRule="atLeast"/>
        <w:jc w:val="right"/>
        <w:divId w:val="409424553"/>
        <w:rPr>
          <w:rFonts w:hint="eastAsia"/>
          <w:sz w:val="30"/>
          <w:szCs w:val="30"/>
        </w:rPr>
      </w:pPr>
      <w:r>
        <w:rPr>
          <w:rFonts w:hint="eastAsia"/>
          <w:sz w:val="30"/>
          <w:szCs w:val="30"/>
        </w:rPr>
        <w:t>审　判　长　　梁玉庆</w:t>
      </w:r>
    </w:p>
    <w:p w14:paraId="5253B19E" w14:textId="77777777" w:rsidR="00F5642B" w:rsidRDefault="00F5642B">
      <w:pPr>
        <w:spacing w:line="500" w:lineRule="atLeast"/>
        <w:jc w:val="right"/>
        <w:divId w:val="832644863"/>
        <w:rPr>
          <w:rFonts w:hint="eastAsia"/>
          <w:sz w:val="30"/>
          <w:szCs w:val="30"/>
        </w:rPr>
      </w:pPr>
      <w:r>
        <w:rPr>
          <w:rFonts w:hint="eastAsia"/>
          <w:sz w:val="30"/>
          <w:szCs w:val="30"/>
        </w:rPr>
        <w:t>人民陪审员　　陈俊悦</w:t>
      </w:r>
    </w:p>
    <w:p w14:paraId="6FD1E04C" w14:textId="77777777" w:rsidR="00F5642B" w:rsidRDefault="00F5642B">
      <w:pPr>
        <w:spacing w:line="500" w:lineRule="atLeast"/>
        <w:jc w:val="right"/>
        <w:divId w:val="116149704"/>
        <w:rPr>
          <w:rFonts w:hint="eastAsia"/>
          <w:sz w:val="30"/>
          <w:szCs w:val="30"/>
        </w:rPr>
      </w:pPr>
      <w:r>
        <w:rPr>
          <w:rFonts w:hint="eastAsia"/>
          <w:sz w:val="30"/>
          <w:szCs w:val="30"/>
        </w:rPr>
        <w:t>人民陪审员　　胡桂影</w:t>
      </w:r>
    </w:p>
    <w:p w14:paraId="6196C502" w14:textId="77777777" w:rsidR="00F5642B" w:rsidRDefault="00F5642B">
      <w:pPr>
        <w:spacing w:line="500" w:lineRule="atLeast"/>
        <w:jc w:val="right"/>
        <w:divId w:val="8873"/>
        <w:rPr>
          <w:rFonts w:hint="eastAsia"/>
          <w:sz w:val="30"/>
          <w:szCs w:val="30"/>
        </w:rPr>
      </w:pPr>
      <w:r>
        <w:rPr>
          <w:rFonts w:hint="eastAsia"/>
          <w:sz w:val="30"/>
          <w:szCs w:val="30"/>
        </w:rPr>
        <w:t>二〇一八年八月二十七日</w:t>
      </w:r>
    </w:p>
    <w:p w14:paraId="7010D23D" w14:textId="77777777" w:rsidR="00F5642B" w:rsidRDefault="00F5642B">
      <w:pPr>
        <w:spacing w:line="500" w:lineRule="atLeast"/>
        <w:jc w:val="right"/>
        <w:divId w:val="1011570175"/>
        <w:rPr>
          <w:rFonts w:hint="eastAsia"/>
          <w:sz w:val="30"/>
          <w:szCs w:val="30"/>
        </w:rPr>
      </w:pPr>
      <w:r>
        <w:rPr>
          <w:rFonts w:hint="eastAsia"/>
          <w:sz w:val="30"/>
          <w:szCs w:val="30"/>
        </w:rPr>
        <w:t>书　记　员　　黄柳瑜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CAB21" w14:textId="77777777" w:rsidR="00F5642B" w:rsidRDefault="00F5642B" w:rsidP="00F5642B">
      <w:pPr>
        <w:rPr>
          <w:rFonts w:hint="eastAsia"/>
        </w:rPr>
      </w:pPr>
      <w:r>
        <w:separator/>
      </w:r>
    </w:p>
  </w:endnote>
  <w:endnote w:type="continuationSeparator" w:id="0">
    <w:p w14:paraId="3B329EF4" w14:textId="77777777" w:rsidR="00F5642B" w:rsidRDefault="00F5642B" w:rsidP="00F564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4FBF2" w14:textId="77777777" w:rsidR="00F5642B" w:rsidRDefault="00F5642B" w:rsidP="00F5642B">
      <w:pPr>
        <w:rPr>
          <w:rFonts w:hint="eastAsia"/>
        </w:rPr>
      </w:pPr>
      <w:r>
        <w:separator/>
      </w:r>
    </w:p>
  </w:footnote>
  <w:footnote w:type="continuationSeparator" w:id="0">
    <w:p w14:paraId="3EADD639" w14:textId="77777777" w:rsidR="00F5642B" w:rsidRDefault="00F5642B" w:rsidP="00F564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642B"/>
    <w:rsid w:val="002A784C"/>
    <w:rsid w:val="00F56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480DA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642B"/>
    <w:pPr>
      <w:tabs>
        <w:tab w:val="center" w:pos="4153"/>
        <w:tab w:val="right" w:pos="8306"/>
      </w:tabs>
      <w:snapToGrid w:val="0"/>
      <w:jc w:val="center"/>
    </w:pPr>
    <w:rPr>
      <w:sz w:val="18"/>
      <w:szCs w:val="18"/>
    </w:rPr>
  </w:style>
  <w:style w:type="character" w:customStyle="1" w:styleId="a4">
    <w:name w:val="页眉 字符"/>
    <w:basedOn w:val="a0"/>
    <w:link w:val="a3"/>
    <w:uiPriority w:val="99"/>
    <w:rsid w:val="00F5642B"/>
    <w:rPr>
      <w:rFonts w:ascii="宋体" w:eastAsia="宋体" w:hAnsi="宋体" w:cs="宋体"/>
      <w:sz w:val="18"/>
      <w:szCs w:val="18"/>
    </w:rPr>
  </w:style>
  <w:style w:type="paragraph" w:styleId="a5">
    <w:name w:val="footer"/>
    <w:basedOn w:val="a"/>
    <w:link w:val="a6"/>
    <w:uiPriority w:val="99"/>
    <w:unhideWhenUsed/>
    <w:rsid w:val="00F5642B"/>
    <w:pPr>
      <w:tabs>
        <w:tab w:val="center" w:pos="4153"/>
        <w:tab w:val="right" w:pos="8306"/>
      </w:tabs>
      <w:snapToGrid w:val="0"/>
    </w:pPr>
    <w:rPr>
      <w:sz w:val="18"/>
      <w:szCs w:val="18"/>
    </w:rPr>
  </w:style>
  <w:style w:type="character" w:customStyle="1" w:styleId="a6">
    <w:name w:val="页脚 字符"/>
    <w:basedOn w:val="a0"/>
    <w:link w:val="a5"/>
    <w:uiPriority w:val="99"/>
    <w:rsid w:val="00F564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
      <w:marLeft w:val="0"/>
      <w:marRight w:val="720"/>
      <w:marTop w:val="10"/>
      <w:marBottom w:val="10"/>
      <w:divBdr>
        <w:top w:val="none" w:sz="0" w:space="0" w:color="auto"/>
        <w:left w:val="none" w:sz="0" w:space="0" w:color="auto"/>
        <w:bottom w:val="none" w:sz="0" w:space="0" w:color="auto"/>
        <w:right w:val="none" w:sz="0" w:space="0" w:color="auto"/>
      </w:divBdr>
    </w:div>
    <w:div w:id="100612102">
      <w:marLeft w:val="0"/>
      <w:marRight w:val="0"/>
      <w:marTop w:val="10"/>
      <w:marBottom w:val="10"/>
      <w:divBdr>
        <w:top w:val="none" w:sz="0" w:space="0" w:color="auto"/>
        <w:left w:val="none" w:sz="0" w:space="0" w:color="auto"/>
        <w:bottom w:val="none" w:sz="0" w:space="0" w:color="auto"/>
        <w:right w:val="none" w:sz="0" w:space="0" w:color="auto"/>
      </w:divBdr>
    </w:div>
    <w:div w:id="116149704">
      <w:marLeft w:val="0"/>
      <w:marRight w:val="720"/>
      <w:marTop w:val="10"/>
      <w:marBottom w:val="10"/>
      <w:divBdr>
        <w:top w:val="none" w:sz="0" w:space="0" w:color="auto"/>
        <w:left w:val="none" w:sz="0" w:space="0" w:color="auto"/>
        <w:bottom w:val="none" w:sz="0" w:space="0" w:color="auto"/>
        <w:right w:val="none" w:sz="0" w:space="0" w:color="auto"/>
      </w:divBdr>
    </w:div>
    <w:div w:id="198394363">
      <w:marLeft w:val="0"/>
      <w:marRight w:val="0"/>
      <w:marTop w:val="10"/>
      <w:marBottom w:val="10"/>
      <w:divBdr>
        <w:top w:val="none" w:sz="0" w:space="0" w:color="auto"/>
        <w:left w:val="none" w:sz="0" w:space="0" w:color="auto"/>
        <w:bottom w:val="none" w:sz="0" w:space="0" w:color="auto"/>
        <w:right w:val="none" w:sz="0" w:space="0" w:color="auto"/>
      </w:divBdr>
    </w:div>
    <w:div w:id="251817397">
      <w:marLeft w:val="0"/>
      <w:marRight w:val="0"/>
      <w:marTop w:val="10"/>
      <w:marBottom w:val="10"/>
      <w:divBdr>
        <w:top w:val="none" w:sz="0" w:space="0" w:color="auto"/>
        <w:left w:val="none" w:sz="0" w:space="0" w:color="auto"/>
        <w:bottom w:val="none" w:sz="0" w:space="0" w:color="auto"/>
        <w:right w:val="none" w:sz="0" w:space="0" w:color="auto"/>
      </w:divBdr>
    </w:div>
    <w:div w:id="328292566">
      <w:marLeft w:val="0"/>
      <w:marRight w:val="0"/>
      <w:marTop w:val="10"/>
      <w:marBottom w:val="10"/>
      <w:divBdr>
        <w:top w:val="none" w:sz="0" w:space="0" w:color="auto"/>
        <w:left w:val="none" w:sz="0" w:space="0" w:color="auto"/>
        <w:bottom w:val="none" w:sz="0" w:space="0" w:color="auto"/>
        <w:right w:val="none" w:sz="0" w:space="0" w:color="auto"/>
      </w:divBdr>
    </w:div>
    <w:div w:id="409424553">
      <w:marLeft w:val="0"/>
      <w:marRight w:val="720"/>
      <w:marTop w:val="10"/>
      <w:marBottom w:val="10"/>
      <w:divBdr>
        <w:top w:val="none" w:sz="0" w:space="0" w:color="auto"/>
        <w:left w:val="none" w:sz="0" w:space="0" w:color="auto"/>
        <w:bottom w:val="none" w:sz="0" w:space="0" w:color="auto"/>
        <w:right w:val="none" w:sz="0" w:space="0" w:color="auto"/>
      </w:divBdr>
    </w:div>
    <w:div w:id="484395943">
      <w:marLeft w:val="0"/>
      <w:marRight w:val="0"/>
      <w:marTop w:val="10"/>
      <w:marBottom w:val="10"/>
      <w:divBdr>
        <w:top w:val="none" w:sz="0" w:space="0" w:color="auto"/>
        <w:left w:val="none" w:sz="0" w:space="0" w:color="auto"/>
        <w:bottom w:val="none" w:sz="0" w:space="0" w:color="auto"/>
        <w:right w:val="none" w:sz="0" w:space="0" w:color="auto"/>
      </w:divBdr>
    </w:div>
    <w:div w:id="607002296">
      <w:marLeft w:val="0"/>
      <w:marRight w:val="0"/>
      <w:marTop w:val="10"/>
      <w:marBottom w:val="10"/>
      <w:divBdr>
        <w:top w:val="none" w:sz="0" w:space="0" w:color="auto"/>
        <w:left w:val="none" w:sz="0" w:space="0" w:color="auto"/>
        <w:bottom w:val="none" w:sz="0" w:space="0" w:color="auto"/>
        <w:right w:val="none" w:sz="0" w:space="0" w:color="auto"/>
      </w:divBdr>
    </w:div>
    <w:div w:id="687412867">
      <w:marLeft w:val="0"/>
      <w:marRight w:val="0"/>
      <w:marTop w:val="10"/>
      <w:marBottom w:val="10"/>
      <w:divBdr>
        <w:top w:val="none" w:sz="0" w:space="0" w:color="auto"/>
        <w:left w:val="none" w:sz="0" w:space="0" w:color="auto"/>
        <w:bottom w:val="none" w:sz="0" w:space="0" w:color="auto"/>
        <w:right w:val="none" w:sz="0" w:space="0" w:color="auto"/>
      </w:divBdr>
    </w:div>
    <w:div w:id="725109502">
      <w:marLeft w:val="0"/>
      <w:marRight w:val="0"/>
      <w:marTop w:val="10"/>
      <w:marBottom w:val="10"/>
      <w:divBdr>
        <w:top w:val="none" w:sz="0" w:space="0" w:color="auto"/>
        <w:left w:val="none" w:sz="0" w:space="0" w:color="auto"/>
        <w:bottom w:val="none" w:sz="0" w:space="0" w:color="auto"/>
        <w:right w:val="none" w:sz="0" w:space="0" w:color="auto"/>
      </w:divBdr>
    </w:div>
    <w:div w:id="832644863">
      <w:marLeft w:val="0"/>
      <w:marRight w:val="720"/>
      <w:marTop w:val="10"/>
      <w:marBottom w:val="10"/>
      <w:divBdr>
        <w:top w:val="none" w:sz="0" w:space="0" w:color="auto"/>
        <w:left w:val="none" w:sz="0" w:space="0" w:color="auto"/>
        <w:bottom w:val="none" w:sz="0" w:space="0" w:color="auto"/>
        <w:right w:val="none" w:sz="0" w:space="0" w:color="auto"/>
      </w:divBdr>
    </w:div>
    <w:div w:id="957684469">
      <w:marLeft w:val="0"/>
      <w:marRight w:val="0"/>
      <w:marTop w:val="10"/>
      <w:marBottom w:val="10"/>
      <w:divBdr>
        <w:top w:val="none" w:sz="0" w:space="0" w:color="auto"/>
        <w:left w:val="none" w:sz="0" w:space="0" w:color="auto"/>
        <w:bottom w:val="none" w:sz="0" w:space="0" w:color="auto"/>
        <w:right w:val="none" w:sz="0" w:space="0" w:color="auto"/>
      </w:divBdr>
    </w:div>
    <w:div w:id="1011570175">
      <w:marLeft w:val="0"/>
      <w:marRight w:val="720"/>
      <w:marTop w:val="10"/>
      <w:marBottom w:val="10"/>
      <w:divBdr>
        <w:top w:val="none" w:sz="0" w:space="0" w:color="auto"/>
        <w:left w:val="none" w:sz="0" w:space="0" w:color="auto"/>
        <w:bottom w:val="none" w:sz="0" w:space="0" w:color="auto"/>
        <w:right w:val="none" w:sz="0" w:space="0" w:color="auto"/>
      </w:divBdr>
    </w:div>
    <w:div w:id="1025596529">
      <w:marLeft w:val="0"/>
      <w:marRight w:val="0"/>
      <w:marTop w:val="10"/>
      <w:marBottom w:val="10"/>
      <w:divBdr>
        <w:top w:val="none" w:sz="0" w:space="0" w:color="auto"/>
        <w:left w:val="none" w:sz="0" w:space="0" w:color="auto"/>
        <w:bottom w:val="none" w:sz="0" w:space="0" w:color="auto"/>
        <w:right w:val="none" w:sz="0" w:space="0" w:color="auto"/>
      </w:divBdr>
    </w:div>
    <w:div w:id="1335179848">
      <w:marLeft w:val="0"/>
      <w:marRight w:val="0"/>
      <w:marTop w:val="10"/>
      <w:marBottom w:val="10"/>
      <w:divBdr>
        <w:top w:val="none" w:sz="0" w:space="0" w:color="auto"/>
        <w:left w:val="none" w:sz="0" w:space="0" w:color="auto"/>
        <w:bottom w:val="none" w:sz="0" w:space="0" w:color="auto"/>
        <w:right w:val="none" w:sz="0" w:space="0" w:color="auto"/>
      </w:divBdr>
    </w:div>
    <w:div w:id="1340767390">
      <w:marLeft w:val="0"/>
      <w:marRight w:val="0"/>
      <w:marTop w:val="10"/>
      <w:marBottom w:val="10"/>
      <w:divBdr>
        <w:top w:val="none" w:sz="0" w:space="0" w:color="auto"/>
        <w:left w:val="none" w:sz="0" w:space="0" w:color="auto"/>
        <w:bottom w:val="none" w:sz="0" w:space="0" w:color="auto"/>
        <w:right w:val="none" w:sz="0" w:space="0" w:color="auto"/>
      </w:divBdr>
    </w:div>
    <w:div w:id="1437285344">
      <w:marLeft w:val="0"/>
      <w:marRight w:val="0"/>
      <w:marTop w:val="10"/>
      <w:marBottom w:val="10"/>
      <w:divBdr>
        <w:top w:val="none" w:sz="0" w:space="0" w:color="auto"/>
        <w:left w:val="none" w:sz="0" w:space="0" w:color="auto"/>
        <w:bottom w:val="none" w:sz="0" w:space="0" w:color="auto"/>
        <w:right w:val="none" w:sz="0" w:space="0" w:color="auto"/>
      </w:divBdr>
    </w:div>
    <w:div w:id="1565292913">
      <w:marLeft w:val="0"/>
      <w:marRight w:val="0"/>
      <w:marTop w:val="10"/>
      <w:marBottom w:val="10"/>
      <w:divBdr>
        <w:top w:val="none" w:sz="0" w:space="0" w:color="auto"/>
        <w:left w:val="none" w:sz="0" w:space="0" w:color="auto"/>
        <w:bottom w:val="none" w:sz="0" w:space="0" w:color="auto"/>
        <w:right w:val="none" w:sz="0" w:space="0" w:color="auto"/>
      </w:divBdr>
    </w:div>
    <w:div w:id="1702627465">
      <w:marLeft w:val="0"/>
      <w:marRight w:val="0"/>
      <w:marTop w:val="10"/>
      <w:marBottom w:val="10"/>
      <w:divBdr>
        <w:top w:val="none" w:sz="0" w:space="0" w:color="auto"/>
        <w:left w:val="none" w:sz="0" w:space="0" w:color="auto"/>
        <w:bottom w:val="none" w:sz="0" w:space="0" w:color="auto"/>
        <w:right w:val="none" w:sz="0" w:space="0" w:color="auto"/>
      </w:divBdr>
    </w:div>
    <w:div w:id="1786732645">
      <w:marLeft w:val="0"/>
      <w:marRight w:val="0"/>
      <w:marTop w:val="10"/>
      <w:marBottom w:val="10"/>
      <w:divBdr>
        <w:top w:val="none" w:sz="0" w:space="0" w:color="auto"/>
        <w:left w:val="none" w:sz="0" w:space="0" w:color="auto"/>
        <w:bottom w:val="none" w:sz="0" w:space="0" w:color="auto"/>
        <w:right w:val="none" w:sz="0" w:space="0" w:color="auto"/>
      </w:divBdr>
    </w:div>
    <w:div w:id="1937054489">
      <w:marLeft w:val="0"/>
      <w:marRight w:val="0"/>
      <w:marTop w:val="10"/>
      <w:marBottom w:val="10"/>
      <w:divBdr>
        <w:top w:val="none" w:sz="0" w:space="0" w:color="auto"/>
        <w:left w:val="none" w:sz="0" w:space="0" w:color="auto"/>
        <w:bottom w:val="none" w:sz="0" w:space="0" w:color="auto"/>
        <w:right w:val="none" w:sz="0" w:space="0" w:color="auto"/>
      </w:divBdr>
    </w:div>
    <w:div w:id="19490442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