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DF803" w14:textId="77777777" w:rsidR="00554CAE" w:rsidRDefault="00554CAE">
      <w:pPr>
        <w:spacing w:line="500" w:lineRule="atLeast"/>
        <w:ind w:firstLine="600"/>
        <w:divId w:val="1936130841"/>
        <w:rPr>
          <w:sz w:val="30"/>
          <w:szCs w:val="30"/>
        </w:rPr>
      </w:pPr>
      <w:r>
        <w:rPr>
          <w:rFonts w:hint="eastAsia"/>
          <w:sz w:val="30"/>
          <w:szCs w:val="30"/>
        </w:rPr>
        <w:t>终稿</w:t>
      </w:r>
    </w:p>
    <w:p w14:paraId="0B7059B1" w14:textId="77777777" w:rsidR="00554CAE" w:rsidRDefault="00554CAE">
      <w:pPr>
        <w:spacing w:line="500" w:lineRule="atLeast"/>
        <w:jc w:val="center"/>
        <w:divId w:val="1778790355"/>
        <w:rPr>
          <w:rFonts w:ascii="黑体" w:eastAsia="黑体" w:hAnsi="黑体" w:hint="eastAsia"/>
          <w:sz w:val="36"/>
          <w:szCs w:val="36"/>
        </w:rPr>
      </w:pPr>
      <w:r>
        <w:rPr>
          <w:rFonts w:ascii="黑体" w:eastAsia="黑体" w:hAnsi="黑体" w:hint="eastAsia"/>
          <w:sz w:val="36"/>
          <w:szCs w:val="36"/>
        </w:rPr>
        <w:t>广东省广州市荔湾区人民法院</w:t>
      </w:r>
    </w:p>
    <w:p w14:paraId="702DA387" w14:textId="77777777" w:rsidR="00554CAE" w:rsidRDefault="00554CAE">
      <w:pPr>
        <w:spacing w:line="500" w:lineRule="atLeast"/>
        <w:jc w:val="center"/>
        <w:divId w:val="9123521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1E77625" w14:textId="77777777" w:rsidR="00554CAE" w:rsidRDefault="00554CAE">
      <w:pPr>
        <w:spacing w:line="500" w:lineRule="atLeast"/>
        <w:jc w:val="right"/>
        <w:divId w:val="1307320784"/>
        <w:rPr>
          <w:rFonts w:hint="eastAsia"/>
          <w:sz w:val="30"/>
          <w:szCs w:val="30"/>
        </w:rPr>
      </w:pPr>
      <w:r>
        <w:rPr>
          <w:rFonts w:hint="eastAsia"/>
          <w:sz w:val="30"/>
          <w:szCs w:val="30"/>
        </w:rPr>
        <w:t>(2018)</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104</w:t>
      </w:r>
      <w:r>
        <w:rPr>
          <w:rFonts w:hint="eastAsia"/>
          <w:sz w:val="30"/>
          <w:szCs w:val="30"/>
        </w:rPr>
        <w:t>号</w:t>
      </w:r>
    </w:p>
    <w:p w14:paraId="47AC25E9" w14:textId="77777777" w:rsidR="00554CAE" w:rsidRDefault="00554CAE">
      <w:pPr>
        <w:spacing w:line="500" w:lineRule="atLeast"/>
        <w:ind w:firstLine="600"/>
        <w:divId w:val="770978734"/>
        <w:rPr>
          <w:rFonts w:hint="eastAsia"/>
          <w:sz w:val="30"/>
          <w:szCs w:val="30"/>
        </w:rPr>
      </w:pPr>
      <w:r>
        <w:rPr>
          <w:rFonts w:hint="eastAsia"/>
          <w:sz w:val="30"/>
          <w:szCs w:val="30"/>
        </w:rPr>
        <w:t>公诉机关广州市荔湾区人民检察院。</w:t>
      </w:r>
    </w:p>
    <w:p w14:paraId="32372586" w14:textId="77777777" w:rsidR="00554CAE" w:rsidRDefault="00554CAE">
      <w:pPr>
        <w:spacing w:line="500" w:lineRule="atLeast"/>
        <w:ind w:firstLine="600"/>
        <w:divId w:val="583301271"/>
        <w:rPr>
          <w:rFonts w:hint="eastAsia"/>
          <w:sz w:val="30"/>
          <w:szCs w:val="30"/>
        </w:rPr>
      </w:pPr>
      <w:r>
        <w:rPr>
          <w:rFonts w:hint="eastAsia"/>
          <w:sz w:val="30"/>
          <w:szCs w:val="30"/>
        </w:rPr>
        <w:t>被告人余嘉，女，</w:t>
      </w:r>
      <w:r>
        <w:rPr>
          <w:rFonts w:hint="eastAsia"/>
          <w:sz w:val="30"/>
          <w:szCs w:val="30"/>
        </w:rPr>
        <w:t>1964</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日出生，汉族，文化程度大学本科，原系广东健洱药业有限公司财务经理，住广东省广州市天河区，现住广东省广州市天河区。因本案于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日被羁押，同日被刑事拘留，</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日被取保候审。</w:t>
      </w:r>
    </w:p>
    <w:p w14:paraId="08A76345" w14:textId="77777777" w:rsidR="00554CAE" w:rsidRDefault="00554CAE">
      <w:pPr>
        <w:spacing w:line="500" w:lineRule="atLeast"/>
        <w:ind w:firstLine="600"/>
        <w:divId w:val="1852258448"/>
        <w:rPr>
          <w:rFonts w:hint="eastAsia"/>
          <w:sz w:val="30"/>
          <w:szCs w:val="30"/>
        </w:rPr>
      </w:pPr>
      <w:r>
        <w:rPr>
          <w:rFonts w:hint="eastAsia"/>
          <w:sz w:val="30"/>
          <w:szCs w:val="30"/>
        </w:rPr>
        <w:t>辩护人陈慧婷，广东广信君达律师事务所律师。</w:t>
      </w:r>
    </w:p>
    <w:p w14:paraId="1897FC86" w14:textId="77777777" w:rsidR="00554CAE" w:rsidRDefault="00554CAE">
      <w:pPr>
        <w:spacing w:line="500" w:lineRule="atLeast"/>
        <w:ind w:firstLine="600"/>
        <w:divId w:val="1973629990"/>
        <w:rPr>
          <w:rFonts w:hint="eastAsia"/>
          <w:sz w:val="30"/>
          <w:szCs w:val="30"/>
        </w:rPr>
      </w:pPr>
      <w:r>
        <w:rPr>
          <w:rFonts w:hint="eastAsia"/>
          <w:sz w:val="30"/>
          <w:szCs w:val="30"/>
        </w:rPr>
        <w:t>广州市荔湾区人民检察院以穗荔检诉刑诉</w:t>
      </w:r>
      <w:r>
        <w:rPr>
          <w:rFonts w:hint="eastAsia"/>
          <w:sz w:val="30"/>
          <w:szCs w:val="30"/>
        </w:rPr>
        <w:t>[2017]1584</w:t>
      </w:r>
      <w:r>
        <w:rPr>
          <w:rFonts w:hint="eastAsia"/>
          <w:sz w:val="30"/>
          <w:szCs w:val="30"/>
        </w:rPr>
        <w:t>号起诉书指控被告人余嘉犯贪污罪，于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日向本院提起公诉。本院依法组成合议庭，适用简易程序公开开庭审理了本案。广州市荔湾区人民检察院指派检察员李莉航出庭支持公诉，被告人余嘉及其辩护人陈慧婷到庭参加诉讼，现已审理终结。</w:t>
      </w:r>
    </w:p>
    <w:p w14:paraId="19BF6BD6" w14:textId="77777777" w:rsidR="00554CAE" w:rsidRDefault="00554CAE">
      <w:pPr>
        <w:spacing w:line="500" w:lineRule="atLeast"/>
        <w:ind w:firstLine="600"/>
        <w:divId w:val="658927933"/>
        <w:rPr>
          <w:rFonts w:hint="eastAsia"/>
          <w:sz w:val="30"/>
          <w:szCs w:val="30"/>
        </w:rPr>
      </w:pPr>
      <w:r>
        <w:rPr>
          <w:rFonts w:hint="eastAsia"/>
          <w:sz w:val="30"/>
          <w:szCs w:val="30"/>
        </w:rPr>
        <w:t>广州市荔湾区人民检察院指控：</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年，被告人余嘉在担任广东健洱药业有限公司财务经理期间，受原广东本草药业有限公司总经理邹某（已判决）指使，先后多次配合、帮助邹某非法占有国有财物</w:t>
      </w:r>
      <w:r>
        <w:rPr>
          <w:rFonts w:hint="eastAsia"/>
          <w:sz w:val="30"/>
          <w:szCs w:val="30"/>
        </w:rPr>
        <w:t>1249.323856</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日，被告人余嘉到本院自动投案。</w:t>
      </w:r>
    </w:p>
    <w:p w14:paraId="5F98AB56" w14:textId="77777777" w:rsidR="00554CAE" w:rsidRDefault="00554CAE">
      <w:pPr>
        <w:spacing w:line="500" w:lineRule="atLeast"/>
        <w:ind w:firstLine="600"/>
        <w:divId w:val="1549296937"/>
        <w:rPr>
          <w:rFonts w:hint="eastAsia"/>
          <w:sz w:val="30"/>
          <w:szCs w:val="30"/>
        </w:rPr>
      </w:pPr>
      <w:r>
        <w:rPr>
          <w:rFonts w:hint="eastAsia"/>
          <w:sz w:val="30"/>
          <w:szCs w:val="30"/>
        </w:rPr>
        <w:t>公诉机关提供了相关证据证实上述指控的事实，认为被告人余嘉无视国家法律，伙同国家工作人员，利用国家工作人员职务上的便利，侵吞公共财物数额特别巨大，其行为触犯了《中华人民共和国刑法》第三百八十二条第一款、第三款、第三百八十三条第一款第三项之规定，应当以贪污罪追究其刑事</w:t>
      </w:r>
      <w:r>
        <w:rPr>
          <w:rFonts w:hint="eastAsia"/>
          <w:sz w:val="30"/>
          <w:szCs w:val="30"/>
        </w:rPr>
        <w:lastRenderedPageBreak/>
        <w:t>责任。被告人余嘉犯罪以后自动投案，如实供述自己的罪行，是自首，根据《中华人民共和国刑法》第六十七条第一款之规定，可以从轻或者减轻处罚。被告人余嘉在共同犯罪中起辅助作用，根据《中华人民共和国刑法》第二十七条之规定，是从犯，应当从轻或者减轻处罚。提请本院依法对被告人余嘉作出判处。</w:t>
      </w:r>
    </w:p>
    <w:p w14:paraId="7EF1DDBA" w14:textId="77777777" w:rsidR="00554CAE" w:rsidRDefault="00554CAE">
      <w:pPr>
        <w:spacing w:line="500" w:lineRule="atLeast"/>
        <w:ind w:firstLine="600"/>
        <w:divId w:val="1847596923"/>
        <w:rPr>
          <w:rFonts w:hint="eastAsia"/>
          <w:sz w:val="30"/>
          <w:szCs w:val="30"/>
        </w:rPr>
      </w:pPr>
      <w:r>
        <w:rPr>
          <w:rFonts w:hint="eastAsia"/>
          <w:sz w:val="30"/>
          <w:szCs w:val="30"/>
        </w:rPr>
        <w:t>被告人余嘉对公诉机关指控的犯罪事实无异议，请求从轻处罚。其辩护人提出如下辩护意见：一、定罪方面，认为被告人没有伙同邹某贪污，不构成贪污罪，理由：被告人对邹某贪污的意图并不知情，主观上没有配合、帮助邹某贪污的故意，没有伙同邹某贪污；现有证据不能证明被告人有配合、帮助邹某贪污的故意，伙同邹某贪污；二、量刑方面，被告人有自首情节，有重大立功表现，仅起辅助作用，系初犯。综上，如认定被告人有罪，请求对被告人免于刑事处罚。</w:t>
      </w:r>
    </w:p>
    <w:p w14:paraId="1FD42075" w14:textId="77777777" w:rsidR="00554CAE" w:rsidRDefault="00554CAE">
      <w:pPr>
        <w:spacing w:line="500" w:lineRule="atLeast"/>
        <w:ind w:firstLine="600"/>
        <w:divId w:val="1696927627"/>
        <w:rPr>
          <w:rFonts w:hint="eastAsia"/>
          <w:sz w:val="30"/>
          <w:szCs w:val="30"/>
        </w:rPr>
      </w:pPr>
      <w:r>
        <w:rPr>
          <w:rFonts w:hint="eastAsia"/>
          <w:sz w:val="30"/>
          <w:szCs w:val="30"/>
        </w:rPr>
        <w:t>经审理查明，自</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月，同案人邹某（已判决）先后担任国有公司广东本草药业有限公司总经理、执行董事、法定代表人。</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月起，同案人邹某决定并安排其公司的财务部副经理曾某先后设立了多个银行账户，形成独立于公司法定账的账外账。并于</w:t>
      </w:r>
      <w:r>
        <w:rPr>
          <w:rFonts w:hint="eastAsia"/>
          <w:sz w:val="30"/>
          <w:szCs w:val="30"/>
        </w:rPr>
        <w:t>2009</w:t>
      </w:r>
      <w:r>
        <w:rPr>
          <w:rFonts w:hint="eastAsia"/>
          <w:sz w:val="30"/>
          <w:szCs w:val="30"/>
        </w:rPr>
        <w:t>年之后，又安排由本草药业公司出资的广东本草医药药材有限公司副总经理梁某按本草药业公司的模式建立本草医药公司的多个账外账户。在此期间，同案人邹某先后分别安排曾某、梁某等人虚构销售合同、大量购买湖北金利源药业有限公司等虚开的增值税专用发票作为进项，以支付货款为名，从本草药业公司、本草医药公司开出以这些公司为收款单位的汇票、支票，再用私刻的收款单位印章背书转入账外账，用于返还挂靠人员货款等用途。</w:t>
      </w:r>
    </w:p>
    <w:p w14:paraId="27EDF3F5" w14:textId="77777777" w:rsidR="00554CAE" w:rsidRDefault="00554CAE">
      <w:pPr>
        <w:spacing w:line="500" w:lineRule="atLeast"/>
        <w:ind w:firstLine="600"/>
        <w:divId w:val="1242452208"/>
        <w:rPr>
          <w:rFonts w:hint="eastAsia"/>
          <w:sz w:val="30"/>
          <w:szCs w:val="30"/>
        </w:rPr>
      </w:pPr>
      <w:r>
        <w:rPr>
          <w:rFonts w:hint="eastAsia"/>
          <w:sz w:val="30"/>
          <w:szCs w:val="30"/>
        </w:rPr>
        <w:t>被告人余嘉于</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在担任广东健洱药业有限公司财务经理期间，受其前夫即同案人邹某安排、指使，对本草药业公司、本草医药公司的上述账外账户负责制作及保管账目、划转资金。在被告人余嘉等人的配合、帮助下，同案人邹某多次从上述账外账转出大量资金用于个人或亲属名义购房、购车等用途，致使同案人邹某利用本草药业公司、本草医药公司账外账户贪污公款共计</w:t>
      </w:r>
      <w:r>
        <w:rPr>
          <w:rFonts w:hint="eastAsia"/>
          <w:sz w:val="30"/>
          <w:szCs w:val="30"/>
        </w:rPr>
        <w:t>1249.323856</w:t>
      </w:r>
      <w:r>
        <w:rPr>
          <w:rFonts w:hint="eastAsia"/>
          <w:sz w:val="30"/>
          <w:szCs w:val="30"/>
        </w:rPr>
        <w:t>万元。</w:t>
      </w:r>
    </w:p>
    <w:p w14:paraId="6EB4D478" w14:textId="77777777" w:rsidR="00554CAE" w:rsidRDefault="00554CAE">
      <w:pPr>
        <w:spacing w:line="500" w:lineRule="atLeast"/>
        <w:ind w:firstLine="600"/>
        <w:divId w:val="708261557"/>
        <w:rPr>
          <w:rFonts w:hint="eastAsia"/>
          <w:sz w:val="30"/>
          <w:szCs w:val="30"/>
        </w:rPr>
      </w:pP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日，被告人余嘉至广州市荔湾区人民检察院自动投案。</w:t>
      </w:r>
    </w:p>
    <w:p w14:paraId="2A47F0F6" w14:textId="77777777" w:rsidR="00554CAE" w:rsidRDefault="00554CAE">
      <w:pPr>
        <w:spacing w:line="500" w:lineRule="atLeast"/>
        <w:ind w:firstLine="600"/>
        <w:divId w:val="1416047510"/>
        <w:rPr>
          <w:rFonts w:hint="eastAsia"/>
          <w:sz w:val="30"/>
          <w:szCs w:val="30"/>
        </w:rPr>
      </w:pPr>
      <w:r>
        <w:rPr>
          <w:rFonts w:hint="eastAsia"/>
          <w:sz w:val="30"/>
          <w:szCs w:val="30"/>
        </w:rPr>
        <w:t>上述事实，被告人余嘉在开庭审理时无异议，并有检察机关出具的指定管辖决定书、立案决定书、破案经过，广东本草药业有限公司的企业机读档案登记资料、章程、验资报告、企业营业执照，中共广东省广弘资产经营有限公司委员会关于邹某等通知职务任免的通知、干部任免审批表，银粤专字（</w:t>
      </w:r>
      <w:r>
        <w:rPr>
          <w:rFonts w:hint="eastAsia"/>
          <w:sz w:val="30"/>
          <w:szCs w:val="30"/>
        </w:rPr>
        <w:t>2015</w:t>
      </w:r>
      <w:r>
        <w:rPr>
          <w:rFonts w:hint="eastAsia"/>
          <w:sz w:val="30"/>
          <w:szCs w:val="30"/>
        </w:rPr>
        <w:t>）</w:t>
      </w:r>
      <w:r>
        <w:rPr>
          <w:rFonts w:hint="eastAsia"/>
          <w:sz w:val="30"/>
          <w:szCs w:val="30"/>
        </w:rPr>
        <w:t>1010</w:t>
      </w:r>
      <w:r>
        <w:rPr>
          <w:rFonts w:hint="eastAsia"/>
          <w:sz w:val="30"/>
          <w:szCs w:val="30"/>
        </w:rPr>
        <w:t>号本草药业有限公司帐外</w:t>
      </w:r>
      <w:r>
        <w:rPr>
          <w:rFonts w:hint="eastAsia"/>
          <w:sz w:val="30"/>
          <w:szCs w:val="30"/>
        </w:rPr>
        <w:t>13</w:t>
      </w:r>
      <w:r>
        <w:rPr>
          <w:rFonts w:hint="eastAsia"/>
          <w:sz w:val="30"/>
          <w:szCs w:val="30"/>
        </w:rPr>
        <w:t>个银行账户资金收支情况的司法会计鉴定报告，同案人邹彤的生效判决广州市中级人民法院（</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64</w:t>
      </w:r>
      <w:r>
        <w:rPr>
          <w:rFonts w:hint="eastAsia"/>
          <w:sz w:val="30"/>
          <w:szCs w:val="30"/>
        </w:rPr>
        <w:t>号刑事判决书及广东省高级人民法院（</w:t>
      </w:r>
      <w:r>
        <w:rPr>
          <w:rFonts w:hint="eastAsia"/>
          <w:sz w:val="30"/>
          <w:szCs w:val="30"/>
        </w:rPr>
        <w:t>2016</w:t>
      </w:r>
      <w:r>
        <w:rPr>
          <w:rFonts w:hint="eastAsia"/>
          <w:sz w:val="30"/>
          <w:szCs w:val="30"/>
        </w:rPr>
        <w:t>）粤刑终</w:t>
      </w:r>
      <w:r>
        <w:rPr>
          <w:rFonts w:hint="eastAsia"/>
          <w:sz w:val="30"/>
          <w:szCs w:val="30"/>
        </w:rPr>
        <w:t>1741</w:t>
      </w:r>
      <w:r>
        <w:rPr>
          <w:rFonts w:hint="eastAsia"/>
          <w:sz w:val="30"/>
          <w:szCs w:val="30"/>
        </w:rPr>
        <w:t>号刑事判决书，同案人邹某的供述，证人曾某、梁某的证言，被告人余嘉的供述及亲笔供词，被告人余嘉的身份材料等证据证实，证据确实、充分，足资认定。</w:t>
      </w:r>
    </w:p>
    <w:p w14:paraId="24F3E077" w14:textId="77777777" w:rsidR="00554CAE" w:rsidRDefault="00554CAE">
      <w:pPr>
        <w:spacing w:line="500" w:lineRule="atLeast"/>
        <w:ind w:firstLine="600"/>
        <w:divId w:val="1042095998"/>
        <w:rPr>
          <w:rFonts w:hint="eastAsia"/>
          <w:sz w:val="30"/>
          <w:szCs w:val="30"/>
        </w:rPr>
      </w:pPr>
      <w:r>
        <w:rPr>
          <w:rFonts w:hint="eastAsia"/>
          <w:sz w:val="30"/>
          <w:szCs w:val="30"/>
        </w:rPr>
        <w:t>关于被告人余嘉是否构成共同贪污的问题，经查，已发生法律效力的广州市中级人民法院（</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64</w:t>
      </w:r>
      <w:r>
        <w:rPr>
          <w:rFonts w:hint="eastAsia"/>
          <w:sz w:val="30"/>
          <w:szCs w:val="30"/>
        </w:rPr>
        <w:t>号刑事判决书及广东省高级人民法院（</w:t>
      </w:r>
      <w:r>
        <w:rPr>
          <w:rFonts w:hint="eastAsia"/>
          <w:sz w:val="30"/>
          <w:szCs w:val="30"/>
        </w:rPr>
        <w:t>2016</w:t>
      </w:r>
      <w:r>
        <w:rPr>
          <w:rFonts w:hint="eastAsia"/>
          <w:sz w:val="30"/>
          <w:szCs w:val="30"/>
        </w:rPr>
        <w:t>）粤刑终</w:t>
      </w:r>
      <w:r>
        <w:rPr>
          <w:rFonts w:hint="eastAsia"/>
          <w:sz w:val="30"/>
          <w:szCs w:val="30"/>
        </w:rPr>
        <w:t>1741</w:t>
      </w:r>
      <w:r>
        <w:rPr>
          <w:rFonts w:hint="eastAsia"/>
          <w:sz w:val="30"/>
          <w:szCs w:val="30"/>
        </w:rPr>
        <w:t>号刑事判决书中，已充分评析了本案账外账资金的性质、同案人邹某构成贪污罪的认定依据。现有证据足以证实同案人邹某在公司财务体系之外安排其前妻、与公司无关的被告人余嘉管理帐户、控制资金，而被告人余嘉作为财务人员根据邹某的授意，配合、帮助邹某得以完成其利用账外账户贪污公款共计</w:t>
      </w:r>
      <w:r>
        <w:rPr>
          <w:rFonts w:hint="eastAsia"/>
          <w:sz w:val="30"/>
          <w:szCs w:val="30"/>
        </w:rPr>
        <w:t>1249.323856</w:t>
      </w:r>
      <w:r>
        <w:rPr>
          <w:rFonts w:hint="eastAsia"/>
          <w:sz w:val="30"/>
          <w:szCs w:val="30"/>
        </w:rPr>
        <w:t>万元。因此，被告人余嘉的行为是伙同同案人邹某贪污，应以贪污罪共犯论处，应依法追究其刑事责任。但是，鉴于被告人余嘉参与共同贪污受同案人邹某的安排、指使，在共同犯罪中起辅助作用，是从犯，其主动性不明显，没有分占赃款，其情节明显较轻，依法对其减轻处罚。故被告人余嘉的辩护人关于被告人不构成贪污罪的辩护意见与查明事实不符，本院不予采纳。</w:t>
      </w:r>
    </w:p>
    <w:p w14:paraId="3AF6F991" w14:textId="77777777" w:rsidR="00554CAE" w:rsidRDefault="00554CAE">
      <w:pPr>
        <w:spacing w:line="500" w:lineRule="atLeast"/>
        <w:ind w:firstLine="600"/>
        <w:divId w:val="889849947"/>
        <w:rPr>
          <w:rFonts w:hint="eastAsia"/>
          <w:sz w:val="30"/>
          <w:szCs w:val="30"/>
        </w:rPr>
      </w:pPr>
      <w:r>
        <w:rPr>
          <w:rFonts w:hint="eastAsia"/>
          <w:sz w:val="30"/>
          <w:szCs w:val="30"/>
        </w:rPr>
        <w:t>本院认为，被告人余嘉无视国家法律，伙同国家工作人员，利用国家工作人员职务上的便利，侵吞公共财物数额特别巨大，其行为已构成贪污罪，依法应予以惩处。公诉机关指控被告人余嘉犯贪污罪的事实清楚，证据确实、充分，指控的罪名成立，本院予以支持。在共同贪污犯罪中，被告人余嘉起辅助作用，是从犯，依法应予从轻、减轻处罚。被告人余嘉犯罪后自动投案，如实供述自己的罪行，是自首，依法可予从轻处罚。辩护人关于该方面的辩护意见有理，本院予以采纳；其他辩护意见据理不足，不予采纳。根据被告人余嘉的犯罪事实、性质、情节、认罪态度和对社会的危害程度，依法可以对其适用缓刑。依照《中华人民共和国刑法》第三百八十二条第一款、第三款、第三百八十三条第一款第</w:t>
      </w:r>
      <w:r>
        <w:rPr>
          <w:rFonts w:hint="eastAsia"/>
          <w:sz w:val="30"/>
          <w:szCs w:val="30"/>
        </w:rPr>
        <w:t>(</w:t>
      </w:r>
      <w:r>
        <w:rPr>
          <w:rFonts w:hint="eastAsia"/>
          <w:sz w:val="30"/>
          <w:szCs w:val="30"/>
        </w:rPr>
        <w:t>三</w:t>
      </w:r>
      <w:r>
        <w:rPr>
          <w:rFonts w:hint="eastAsia"/>
          <w:sz w:val="30"/>
          <w:szCs w:val="30"/>
        </w:rPr>
        <w:t>)</w:t>
      </w:r>
      <w:r>
        <w:rPr>
          <w:rFonts w:hint="eastAsia"/>
          <w:sz w:val="30"/>
          <w:szCs w:val="30"/>
        </w:rPr>
        <w:t>项、第二十七条、第六十七条第一款、第五十二条、第五十三条、第七十二条、第七十三条第二和第三款及《最高人民法院、最高人民检察院关于办理贪污贿赂刑事案件适用法律若干问题的解释》第三条第一款、第十八条、第十九条的规定，判决如下：</w:t>
      </w:r>
    </w:p>
    <w:p w14:paraId="2FD0FC54" w14:textId="77777777" w:rsidR="00554CAE" w:rsidRDefault="00554CAE">
      <w:pPr>
        <w:spacing w:line="500" w:lineRule="atLeast"/>
        <w:ind w:firstLine="600"/>
        <w:divId w:val="205719514"/>
        <w:rPr>
          <w:rFonts w:hint="eastAsia"/>
          <w:sz w:val="30"/>
          <w:szCs w:val="30"/>
        </w:rPr>
      </w:pPr>
      <w:r>
        <w:rPr>
          <w:rFonts w:hint="eastAsia"/>
          <w:sz w:val="30"/>
          <w:szCs w:val="30"/>
        </w:rPr>
        <w:t>被告人余嘉犯贪污罪，判处有期徒刑三年，缓刑四年，并处罚金人民币二十万元。</w:t>
      </w:r>
    </w:p>
    <w:p w14:paraId="7F6CF562" w14:textId="77777777" w:rsidR="00554CAE" w:rsidRDefault="00554CAE">
      <w:pPr>
        <w:spacing w:line="500" w:lineRule="atLeast"/>
        <w:ind w:firstLine="600"/>
        <w:divId w:val="869608134"/>
        <w:rPr>
          <w:rFonts w:hint="eastAsia"/>
          <w:sz w:val="30"/>
          <w:szCs w:val="30"/>
        </w:rPr>
      </w:pPr>
      <w:r>
        <w:rPr>
          <w:rFonts w:hint="eastAsia"/>
          <w:sz w:val="30"/>
          <w:szCs w:val="30"/>
        </w:rPr>
        <w:t>（缓刑考验期限，从判决确定之日起计算。罚金自本判决发生法律效力第二日起一个月内一次性向本院缴纳，上缴国库）。</w:t>
      </w:r>
    </w:p>
    <w:p w14:paraId="120EACC3" w14:textId="77777777" w:rsidR="00554CAE" w:rsidRDefault="00554CAE">
      <w:pPr>
        <w:spacing w:line="500" w:lineRule="atLeast"/>
        <w:ind w:firstLine="600"/>
        <w:divId w:val="1384952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8066791" w14:textId="77777777" w:rsidR="00554CAE" w:rsidRDefault="00554CAE">
      <w:pPr>
        <w:spacing w:line="500" w:lineRule="atLeast"/>
        <w:jc w:val="right"/>
        <w:divId w:val="21827640"/>
        <w:rPr>
          <w:rFonts w:hint="eastAsia"/>
          <w:sz w:val="30"/>
          <w:szCs w:val="30"/>
        </w:rPr>
      </w:pPr>
      <w:r>
        <w:rPr>
          <w:rFonts w:hint="eastAsia"/>
          <w:sz w:val="30"/>
          <w:szCs w:val="30"/>
        </w:rPr>
        <w:t>审　判　长　　陈　枫</w:t>
      </w:r>
    </w:p>
    <w:p w14:paraId="08BFFE65" w14:textId="77777777" w:rsidR="00554CAE" w:rsidRDefault="00554CAE">
      <w:pPr>
        <w:spacing w:line="500" w:lineRule="atLeast"/>
        <w:jc w:val="right"/>
        <w:divId w:val="1054502009"/>
        <w:rPr>
          <w:rFonts w:hint="eastAsia"/>
          <w:sz w:val="30"/>
          <w:szCs w:val="30"/>
        </w:rPr>
      </w:pPr>
      <w:r>
        <w:rPr>
          <w:rFonts w:hint="eastAsia"/>
          <w:sz w:val="30"/>
          <w:szCs w:val="30"/>
        </w:rPr>
        <w:t>人民陪审员　　冯志强</w:t>
      </w:r>
    </w:p>
    <w:p w14:paraId="488F1E91" w14:textId="77777777" w:rsidR="00554CAE" w:rsidRDefault="00554CAE">
      <w:pPr>
        <w:spacing w:line="500" w:lineRule="atLeast"/>
        <w:jc w:val="right"/>
        <w:divId w:val="2141458822"/>
        <w:rPr>
          <w:rFonts w:hint="eastAsia"/>
          <w:sz w:val="30"/>
          <w:szCs w:val="30"/>
        </w:rPr>
      </w:pPr>
      <w:r>
        <w:rPr>
          <w:rFonts w:hint="eastAsia"/>
          <w:sz w:val="30"/>
          <w:szCs w:val="30"/>
        </w:rPr>
        <w:t>人民陪审员　　邓少敏</w:t>
      </w:r>
    </w:p>
    <w:p w14:paraId="35946B28" w14:textId="77777777" w:rsidR="00554CAE" w:rsidRDefault="00554CAE">
      <w:pPr>
        <w:spacing w:line="500" w:lineRule="atLeast"/>
        <w:jc w:val="right"/>
        <w:divId w:val="1313631710"/>
        <w:rPr>
          <w:rFonts w:hint="eastAsia"/>
          <w:sz w:val="30"/>
          <w:szCs w:val="30"/>
        </w:rPr>
      </w:pPr>
      <w:r>
        <w:rPr>
          <w:rFonts w:hint="eastAsia"/>
          <w:sz w:val="30"/>
          <w:szCs w:val="30"/>
        </w:rPr>
        <w:t>二〇一八年二月十二日</w:t>
      </w:r>
    </w:p>
    <w:p w14:paraId="19DFA624" w14:textId="77777777" w:rsidR="00554CAE" w:rsidRDefault="00554CAE">
      <w:pPr>
        <w:spacing w:line="500" w:lineRule="atLeast"/>
        <w:jc w:val="right"/>
        <w:divId w:val="2045206838"/>
        <w:rPr>
          <w:rFonts w:hint="eastAsia"/>
          <w:sz w:val="30"/>
          <w:szCs w:val="30"/>
        </w:rPr>
      </w:pPr>
      <w:r>
        <w:rPr>
          <w:rFonts w:hint="eastAsia"/>
          <w:sz w:val="30"/>
          <w:szCs w:val="30"/>
        </w:rPr>
        <w:t>书　记　员　　云欣欣</w:t>
      </w:r>
    </w:p>
    <w:p w14:paraId="33F566EE" w14:textId="77777777" w:rsidR="00554CAE" w:rsidRDefault="00554CAE">
      <w:pPr>
        <w:spacing w:line="500" w:lineRule="atLeast"/>
        <w:ind w:firstLine="600"/>
        <w:divId w:val="16350680"/>
        <w:rPr>
          <w:rFonts w:hint="eastAsia"/>
          <w:sz w:val="30"/>
          <w:szCs w:val="30"/>
        </w:rPr>
      </w:pPr>
      <w:r>
        <w:rPr>
          <w:rFonts w:hint="eastAsia"/>
          <w:sz w:val="30"/>
          <w:szCs w:val="30"/>
        </w:rPr>
        <w:t>黄祖仪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B2CE2" w14:textId="77777777" w:rsidR="00554CAE" w:rsidRDefault="00554CAE" w:rsidP="00554CAE">
      <w:pPr>
        <w:rPr>
          <w:rFonts w:hint="eastAsia"/>
        </w:rPr>
      </w:pPr>
      <w:r>
        <w:separator/>
      </w:r>
    </w:p>
  </w:endnote>
  <w:endnote w:type="continuationSeparator" w:id="0">
    <w:p w14:paraId="7D1690CA" w14:textId="77777777" w:rsidR="00554CAE" w:rsidRDefault="00554CAE" w:rsidP="00554CA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AF9D2" w14:textId="77777777" w:rsidR="00554CAE" w:rsidRDefault="00554CAE" w:rsidP="00554CAE">
      <w:pPr>
        <w:rPr>
          <w:rFonts w:hint="eastAsia"/>
        </w:rPr>
      </w:pPr>
      <w:r>
        <w:separator/>
      </w:r>
    </w:p>
  </w:footnote>
  <w:footnote w:type="continuationSeparator" w:id="0">
    <w:p w14:paraId="51D45F79" w14:textId="77777777" w:rsidR="00554CAE" w:rsidRDefault="00554CAE" w:rsidP="00554CA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54CAE"/>
    <w:rsid w:val="002A784C"/>
    <w:rsid w:val="00554C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0F295A"/>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54CAE"/>
    <w:pPr>
      <w:tabs>
        <w:tab w:val="center" w:pos="4153"/>
        <w:tab w:val="right" w:pos="8306"/>
      </w:tabs>
      <w:snapToGrid w:val="0"/>
      <w:jc w:val="center"/>
    </w:pPr>
    <w:rPr>
      <w:sz w:val="18"/>
      <w:szCs w:val="18"/>
    </w:rPr>
  </w:style>
  <w:style w:type="character" w:customStyle="1" w:styleId="a4">
    <w:name w:val="页眉 字符"/>
    <w:basedOn w:val="a0"/>
    <w:link w:val="a3"/>
    <w:uiPriority w:val="99"/>
    <w:rsid w:val="00554CAE"/>
    <w:rPr>
      <w:rFonts w:ascii="宋体" w:eastAsia="宋体" w:hAnsi="宋体" w:cs="宋体"/>
      <w:sz w:val="18"/>
      <w:szCs w:val="18"/>
    </w:rPr>
  </w:style>
  <w:style w:type="paragraph" w:styleId="a5">
    <w:name w:val="footer"/>
    <w:basedOn w:val="a"/>
    <w:link w:val="a6"/>
    <w:uiPriority w:val="99"/>
    <w:unhideWhenUsed/>
    <w:rsid w:val="00554CAE"/>
    <w:pPr>
      <w:tabs>
        <w:tab w:val="center" w:pos="4153"/>
        <w:tab w:val="right" w:pos="8306"/>
      </w:tabs>
      <w:snapToGrid w:val="0"/>
    </w:pPr>
    <w:rPr>
      <w:sz w:val="18"/>
      <w:szCs w:val="18"/>
    </w:rPr>
  </w:style>
  <w:style w:type="character" w:customStyle="1" w:styleId="a6">
    <w:name w:val="页脚 字符"/>
    <w:basedOn w:val="a0"/>
    <w:link w:val="a5"/>
    <w:uiPriority w:val="99"/>
    <w:rsid w:val="00554CA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9526">
      <w:marLeft w:val="0"/>
      <w:marRight w:val="0"/>
      <w:marTop w:val="10"/>
      <w:marBottom w:val="10"/>
      <w:divBdr>
        <w:top w:val="none" w:sz="0" w:space="0" w:color="auto"/>
        <w:left w:val="none" w:sz="0" w:space="0" w:color="auto"/>
        <w:bottom w:val="none" w:sz="0" w:space="0" w:color="auto"/>
        <w:right w:val="none" w:sz="0" w:space="0" w:color="auto"/>
      </w:divBdr>
    </w:div>
    <w:div w:id="16350680">
      <w:marLeft w:val="0"/>
      <w:marRight w:val="0"/>
      <w:marTop w:val="10"/>
      <w:marBottom w:val="10"/>
      <w:divBdr>
        <w:top w:val="none" w:sz="0" w:space="0" w:color="auto"/>
        <w:left w:val="none" w:sz="0" w:space="0" w:color="auto"/>
        <w:bottom w:val="none" w:sz="0" w:space="0" w:color="auto"/>
        <w:right w:val="none" w:sz="0" w:space="0" w:color="auto"/>
      </w:divBdr>
    </w:div>
    <w:div w:id="21827640">
      <w:marLeft w:val="0"/>
      <w:marRight w:val="720"/>
      <w:marTop w:val="10"/>
      <w:marBottom w:val="10"/>
      <w:divBdr>
        <w:top w:val="none" w:sz="0" w:space="0" w:color="auto"/>
        <w:left w:val="none" w:sz="0" w:space="0" w:color="auto"/>
        <w:bottom w:val="none" w:sz="0" w:space="0" w:color="auto"/>
        <w:right w:val="none" w:sz="0" w:space="0" w:color="auto"/>
      </w:divBdr>
    </w:div>
    <w:div w:id="205719514">
      <w:marLeft w:val="0"/>
      <w:marRight w:val="0"/>
      <w:marTop w:val="10"/>
      <w:marBottom w:val="10"/>
      <w:divBdr>
        <w:top w:val="none" w:sz="0" w:space="0" w:color="auto"/>
        <w:left w:val="none" w:sz="0" w:space="0" w:color="auto"/>
        <w:bottom w:val="none" w:sz="0" w:space="0" w:color="auto"/>
        <w:right w:val="none" w:sz="0" w:space="0" w:color="auto"/>
      </w:divBdr>
    </w:div>
    <w:div w:id="583301271">
      <w:marLeft w:val="0"/>
      <w:marRight w:val="0"/>
      <w:marTop w:val="10"/>
      <w:marBottom w:val="10"/>
      <w:divBdr>
        <w:top w:val="none" w:sz="0" w:space="0" w:color="auto"/>
        <w:left w:val="none" w:sz="0" w:space="0" w:color="auto"/>
        <w:bottom w:val="none" w:sz="0" w:space="0" w:color="auto"/>
        <w:right w:val="none" w:sz="0" w:space="0" w:color="auto"/>
      </w:divBdr>
    </w:div>
    <w:div w:id="658927933">
      <w:marLeft w:val="0"/>
      <w:marRight w:val="0"/>
      <w:marTop w:val="10"/>
      <w:marBottom w:val="10"/>
      <w:divBdr>
        <w:top w:val="none" w:sz="0" w:space="0" w:color="auto"/>
        <w:left w:val="none" w:sz="0" w:space="0" w:color="auto"/>
        <w:bottom w:val="none" w:sz="0" w:space="0" w:color="auto"/>
        <w:right w:val="none" w:sz="0" w:space="0" w:color="auto"/>
      </w:divBdr>
    </w:div>
    <w:div w:id="708261557">
      <w:marLeft w:val="0"/>
      <w:marRight w:val="0"/>
      <w:marTop w:val="10"/>
      <w:marBottom w:val="10"/>
      <w:divBdr>
        <w:top w:val="none" w:sz="0" w:space="0" w:color="auto"/>
        <w:left w:val="none" w:sz="0" w:space="0" w:color="auto"/>
        <w:bottom w:val="none" w:sz="0" w:space="0" w:color="auto"/>
        <w:right w:val="none" w:sz="0" w:space="0" w:color="auto"/>
      </w:divBdr>
    </w:div>
    <w:div w:id="770978734">
      <w:marLeft w:val="0"/>
      <w:marRight w:val="0"/>
      <w:marTop w:val="10"/>
      <w:marBottom w:val="10"/>
      <w:divBdr>
        <w:top w:val="none" w:sz="0" w:space="0" w:color="auto"/>
        <w:left w:val="none" w:sz="0" w:space="0" w:color="auto"/>
        <w:bottom w:val="none" w:sz="0" w:space="0" w:color="auto"/>
        <w:right w:val="none" w:sz="0" w:space="0" w:color="auto"/>
      </w:divBdr>
    </w:div>
    <w:div w:id="869608134">
      <w:marLeft w:val="0"/>
      <w:marRight w:val="0"/>
      <w:marTop w:val="10"/>
      <w:marBottom w:val="10"/>
      <w:divBdr>
        <w:top w:val="none" w:sz="0" w:space="0" w:color="auto"/>
        <w:left w:val="none" w:sz="0" w:space="0" w:color="auto"/>
        <w:bottom w:val="none" w:sz="0" w:space="0" w:color="auto"/>
        <w:right w:val="none" w:sz="0" w:space="0" w:color="auto"/>
      </w:divBdr>
    </w:div>
    <w:div w:id="889849947">
      <w:marLeft w:val="0"/>
      <w:marRight w:val="0"/>
      <w:marTop w:val="10"/>
      <w:marBottom w:val="10"/>
      <w:divBdr>
        <w:top w:val="none" w:sz="0" w:space="0" w:color="auto"/>
        <w:left w:val="none" w:sz="0" w:space="0" w:color="auto"/>
        <w:bottom w:val="none" w:sz="0" w:space="0" w:color="auto"/>
        <w:right w:val="none" w:sz="0" w:space="0" w:color="auto"/>
      </w:divBdr>
    </w:div>
    <w:div w:id="912352165">
      <w:marLeft w:val="0"/>
      <w:marRight w:val="0"/>
      <w:marTop w:val="10"/>
      <w:marBottom w:val="10"/>
      <w:divBdr>
        <w:top w:val="none" w:sz="0" w:space="0" w:color="auto"/>
        <w:left w:val="none" w:sz="0" w:space="0" w:color="auto"/>
        <w:bottom w:val="none" w:sz="0" w:space="0" w:color="auto"/>
        <w:right w:val="none" w:sz="0" w:space="0" w:color="auto"/>
      </w:divBdr>
    </w:div>
    <w:div w:id="1042095998">
      <w:marLeft w:val="0"/>
      <w:marRight w:val="0"/>
      <w:marTop w:val="10"/>
      <w:marBottom w:val="10"/>
      <w:divBdr>
        <w:top w:val="none" w:sz="0" w:space="0" w:color="auto"/>
        <w:left w:val="none" w:sz="0" w:space="0" w:color="auto"/>
        <w:bottom w:val="none" w:sz="0" w:space="0" w:color="auto"/>
        <w:right w:val="none" w:sz="0" w:space="0" w:color="auto"/>
      </w:divBdr>
    </w:div>
    <w:div w:id="1054502009">
      <w:marLeft w:val="0"/>
      <w:marRight w:val="720"/>
      <w:marTop w:val="10"/>
      <w:marBottom w:val="10"/>
      <w:divBdr>
        <w:top w:val="none" w:sz="0" w:space="0" w:color="auto"/>
        <w:left w:val="none" w:sz="0" w:space="0" w:color="auto"/>
        <w:bottom w:val="none" w:sz="0" w:space="0" w:color="auto"/>
        <w:right w:val="none" w:sz="0" w:space="0" w:color="auto"/>
      </w:divBdr>
    </w:div>
    <w:div w:id="1242452208">
      <w:marLeft w:val="0"/>
      <w:marRight w:val="0"/>
      <w:marTop w:val="10"/>
      <w:marBottom w:val="10"/>
      <w:divBdr>
        <w:top w:val="none" w:sz="0" w:space="0" w:color="auto"/>
        <w:left w:val="none" w:sz="0" w:space="0" w:color="auto"/>
        <w:bottom w:val="none" w:sz="0" w:space="0" w:color="auto"/>
        <w:right w:val="none" w:sz="0" w:space="0" w:color="auto"/>
      </w:divBdr>
    </w:div>
    <w:div w:id="1307320784">
      <w:marLeft w:val="0"/>
      <w:marRight w:val="0"/>
      <w:marTop w:val="10"/>
      <w:marBottom w:val="10"/>
      <w:divBdr>
        <w:top w:val="none" w:sz="0" w:space="0" w:color="auto"/>
        <w:left w:val="none" w:sz="0" w:space="0" w:color="auto"/>
        <w:bottom w:val="none" w:sz="0" w:space="0" w:color="auto"/>
        <w:right w:val="none" w:sz="0" w:space="0" w:color="auto"/>
      </w:divBdr>
    </w:div>
    <w:div w:id="1313631710">
      <w:marLeft w:val="0"/>
      <w:marRight w:val="720"/>
      <w:marTop w:val="10"/>
      <w:marBottom w:val="10"/>
      <w:divBdr>
        <w:top w:val="none" w:sz="0" w:space="0" w:color="auto"/>
        <w:left w:val="none" w:sz="0" w:space="0" w:color="auto"/>
        <w:bottom w:val="none" w:sz="0" w:space="0" w:color="auto"/>
        <w:right w:val="none" w:sz="0" w:space="0" w:color="auto"/>
      </w:divBdr>
    </w:div>
    <w:div w:id="1416047510">
      <w:marLeft w:val="0"/>
      <w:marRight w:val="0"/>
      <w:marTop w:val="10"/>
      <w:marBottom w:val="10"/>
      <w:divBdr>
        <w:top w:val="none" w:sz="0" w:space="0" w:color="auto"/>
        <w:left w:val="none" w:sz="0" w:space="0" w:color="auto"/>
        <w:bottom w:val="none" w:sz="0" w:space="0" w:color="auto"/>
        <w:right w:val="none" w:sz="0" w:space="0" w:color="auto"/>
      </w:divBdr>
    </w:div>
    <w:div w:id="1549296937">
      <w:marLeft w:val="0"/>
      <w:marRight w:val="0"/>
      <w:marTop w:val="10"/>
      <w:marBottom w:val="10"/>
      <w:divBdr>
        <w:top w:val="none" w:sz="0" w:space="0" w:color="auto"/>
        <w:left w:val="none" w:sz="0" w:space="0" w:color="auto"/>
        <w:bottom w:val="none" w:sz="0" w:space="0" w:color="auto"/>
        <w:right w:val="none" w:sz="0" w:space="0" w:color="auto"/>
      </w:divBdr>
    </w:div>
    <w:div w:id="1696927627">
      <w:marLeft w:val="0"/>
      <w:marRight w:val="0"/>
      <w:marTop w:val="10"/>
      <w:marBottom w:val="10"/>
      <w:divBdr>
        <w:top w:val="none" w:sz="0" w:space="0" w:color="auto"/>
        <w:left w:val="none" w:sz="0" w:space="0" w:color="auto"/>
        <w:bottom w:val="none" w:sz="0" w:space="0" w:color="auto"/>
        <w:right w:val="none" w:sz="0" w:space="0" w:color="auto"/>
      </w:divBdr>
    </w:div>
    <w:div w:id="1778790355">
      <w:marLeft w:val="0"/>
      <w:marRight w:val="0"/>
      <w:marTop w:val="10"/>
      <w:marBottom w:val="10"/>
      <w:divBdr>
        <w:top w:val="none" w:sz="0" w:space="0" w:color="auto"/>
        <w:left w:val="none" w:sz="0" w:space="0" w:color="auto"/>
        <w:bottom w:val="none" w:sz="0" w:space="0" w:color="auto"/>
        <w:right w:val="none" w:sz="0" w:space="0" w:color="auto"/>
      </w:divBdr>
    </w:div>
    <w:div w:id="1847596923">
      <w:marLeft w:val="0"/>
      <w:marRight w:val="0"/>
      <w:marTop w:val="10"/>
      <w:marBottom w:val="10"/>
      <w:divBdr>
        <w:top w:val="none" w:sz="0" w:space="0" w:color="auto"/>
        <w:left w:val="none" w:sz="0" w:space="0" w:color="auto"/>
        <w:bottom w:val="none" w:sz="0" w:space="0" w:color="auto"/>
        <w:right w:val="none" w:sz="0" w:space="0" w:color="auto"/>
      </w:divBdr>
    </w:div>
    <w:div w:id="1852258448">
      <w:marLeft w:val="0"/>
      <w:marRight w:val="0"/>
      <w:marTop w:val="10"/>
      <w:marBottom w:val="10"/>
      <w:divBdr>
        <w:top w:val="none" w:sz="0" w:space="0" w:color="auto"/>
        <w:left w:val="none" w:sz="0" w:space="0" w:color="auto"/>
        <w:bottom w:val="none" w:sz="0" w:space="0" w:color="auto"/>
        <w:right w:val="none" w:sz="0" w:space="0" w:color="auto"/>
      </w:divBdr>
    </w:div>
    <w:div w:id="1936130841">
      <w:marLeft w:val="0"/>
      <w:marRight w:val="0"/>
      <w:marTop w:val="10"/>
      <w:marBottom w:val="10"/>
      <w:divBdr>
        <w:top w:val="none" w:sz="0" w:space="0" w:color="auto"/>
        <w:left w:val="none" w:sz="0" w:space="0" w:color="auto"/>
        <w:bottom w:val="none" w:sz="0" w:space="0" w:color="auto"/>
        <w:right w:val="none" w:sz="0" w:space="0" w:color="auto"/>
      </w:divBdr>
    </w:div>
    <w:div w:id="1973629990">
      <w:marLeft w:val="0"/>
      <w:marRight w:val="0"/>
      <w:marTop w:val="10"/>
      <w:marBottom w:val="10"/>
      <w:divBdr>
        <w:top w:val="none" w:sz="0" w:space="0" w:color="auto"/>
        <w:left w:val="none" w:sz="0" w:space="0" w:color="auto"/>
        <w:bottom w:val="none" w:sz="0" w:space="0" w:color="auto"/>
        <w:right w:val="none" w:sz="0" w:space="0" w:color="auto"/>
      </w:divBdr>
    </w:div>
    <w:div w:id="2045206838">
      <w:marLeft w:val="0"/>
      <w:marRight w:val="720"/>
      <w:marTop w:val="10"/>
      <w:marBottom w:val="10"/>
      <w:divBdr>
        <w:top w:val="none" w:sz="0" w:space="0" w:color="auto"/>
        <w:left w:val="none" w:sz="0" w:space="0" w:color="auto"/>
        <w:bottom w:val="none" w:sz="0" w:space="0" w:color="auto"/>
        <w:right w:val="none" w:sz="0" w:space="0" w:color="auto"/>
      </w:divBdr>
    </w:div>
    <w:div w:id="214145882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425</Words>
  <Characters>2427</Characters>
  <Application>Microsoft Office Word</Application>
  <DocSecurity>0</DocSecurity>
  <Lines>20</Lines>
  <Paragraphs>5</Paragraphs>
  <ScaleCrop>false</ScaleCrop>
  <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2025-04-30T03:18:00Z</dcterms:created>
  <dcterms:modified xsi:type="dcterms:W3CDTF">2025-04-30T03:18:00Z</dcterms:modified>
</cp:coreProperties>
</file>