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A5BF5" w14:textId="77777777" w:rsidR="00FF43C8" w:rsidRDefault="00FF43C8">
      <w:pPr>
        <w:spacing w:line="500" w:lineRule="atLeast"/>
        <w:jc w:val="center"/>
        <w:divId w:val="1558593293"/>
        <w:rPr>
          <w:rFonts w:ascii="黑体" w:eastAsia="黑体" w:hAnsi="黑体"/>
          <w:sz w:val="36"/>
          <w:szCs w:val="36"/>
        </w:rPr>
      </w:pPr>
      <w:r>
        <w:rPr>
          <w:rFonts w:ascii="黑体" w:eastAsia="黑体" w:hAnsi="黑体" w:hint="eastAsia"/>
          <w:sz w:val="36"/>
          <w:szCs w:val="36"/>
        </w:rPr>
        <w:t>广东省恩平市人民法院</w:t>
      </w:r>
    </w:p>
    <w:p w14:paraId="39A6AAEF" w14:textId="77777777" w:rsidR="00FF43C8" w:rsidRDefault="00FF43C8">
      <w:pPr>
        <w:spacing w:line="500" w:lineRule="atLeast"/>
        <w:jc w:val="center"/>
        <w:divId w:val="20234368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F86000" w14:textId="77777777" w:rsidR="00FF43C8" w:rsidRDefault="00FF43C8">
      <w:pPr>
        <w:spacing w:line="500" w:lineRule="atLeast"/>
        <w:jc w:val="right"/>
        <w:divId w:val="638460205"/>
        <w:rPr>
          <w:rFonts w:hint="eastAsia"/>
          <w:sz w:val="30"/>
          <w:szCs w:val="30"/>
        </w:rPr>
      </w:pPr>
      <w:r>
        <w:rPr>
          <w:rFonts w:hint="eastAsia"/>
          <w:sz w:val="30"/>
          <w:szCs w:val="30"/>
        </w:rPr>
        <w:t>（</w:t>
      </w:r>
      <w:r>
        <w:rPr>
          <w:rFonts w:hint="eastAsia"/>
          <w:sz w:val="30"/>
          <w:szCs w:val="30"/>
        </w:rPr>
        <w:t>2014</w:t>
      </w:r>
      <w:r>
        <w:rPr>
          <w:rFonts w:hint="eastAsia"/>
          <w:sz w:val="30"/>
          <w:szCs w:val="30"/>
        </w:rPr>
        <w:t>）江恩法刑初字第</w:t>
      </w:r>
      <w:r>
        <w:rPr>
          <w:rFonts w:hint="eastAsia"/>
          <w:sz w:val="30"/>
          <w:szCs w:val="30"/>
        </w:rPr>
        <w:t>256</w:t>
      </w:r>
      <w:r>
        <w:rPr>
          <w:rFonts w:hint="eastAsia"/>
          <w:sz w:val="30"/>
          <w:szCs w:val="30"/>
        </w:rPr>
        <w:t>号</w:t>
      </w:r>
    </w:p>
    <w:p w14:paraId="5887BD49" w14:textId="77777777" w:rsidR="00FF43C8" w:rsidRDefault="00FF43C8">
      <w:pPr>
        <w:spacing w:line="500" w:lineRule="atLeast"/>
        <w:ind w:firstLine="600"/>
        <w:divId w:val="1336687644"/>
        <w:rPr>
          <w:rFonts w:hint="eastAsia"/>
          <w:sz w:val="30"/>
          <w:szCs w:val="30"/>
        </w:rPr>
      </w:pPr>
      <w:r>
        <w:rPr>
          <w:rFonts w:hint="eastAsia"/>
          <w:sz w:val="30"/>
          <w:szCs w:val="30"/>
        </w:rPr>
        <w:t>公诉机关恩平市人民检察院。</w:t>
      </w:r>
    </w:p>
    <w:p w14:paraId="6A7578D3" w14:textId="77777777" w:rsidR="00FF43C8" w:rsidRDefault="00FF43C8">
      <w:pPr>
        <w:spacing w:line="500" w:lineRule="atLeast"/>
        <w:ind w:firstLine="600"/>
        <w:divId w:val="420764877"/>
        <w:rPr>
          <w:rFonts w:hint="eastAsia"/>
          <w:sz w:val="30"/>
          <w:szCs w:val="30"/>
        </w:rPr>
      </w:pPr>
      <w:r>
        <w:rPr>
          <w:rFonts w:hint="eastAsia"/>
          <w:sz w:val="30"/>
          <w:szCs w:val="30"/>
        </w:rPr>
        <w:t>被告人余某某，男，</w:t>
      </w:r>
      <w:r>
        <w:rPr>
          <w:rFonts w:hint="eastAsia"/>
          <w:sz w:val="30"/>
          <w:szCs w:val="30"/>
        </w:rPr>
        <w:t>1960</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日出生，汉族，文化程度大学，中共党员，原任恩平市国家税务局副局长。</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日因本案被刑事拘留，同年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日被恩平市人民检察院取保候审。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日被本院取保候审。</w:t>
      </w:r>
    </w:p>
    <w:p w14:paraId="37A938A7" w14:textId="77777777" w:rsidR="00FF43C8" w:rsidRDefault="00FF43C8">
      <w:pPr>
        <w:spacing w:line="500" w:lineRule="atLeast"/>
        <w:ind w:firstLine="600"/>
        <w:divId w:val="1180434471"/>
        <w:rPr>
          <w:rFonts w:hint="eastAsia"/>
          <w:sz w:val="30"/>
          <w:szCs w:val="30"/>
        </w:rPr>
      </w:pPr>
      <w:r>
        <w:rPr>
          <w:rFonts w:hint="eastAsia"/>
          <w:sz w:val="30"/>
          <w:szCs w:val="30"/>
        </w:rPr>
        <w:t>辩护人邝日勇，系广东五邑律师事务所律师。</w:t>
      </w:r>
    </w:p>
    <w:p w14:paraId="71EF3E20" w14:textId="77777777" w:rsidR="00FF43C8" w:rsidRDefault="00FF43C8">
      <w:pPr>
        <w:spacing w:line="500" w:lineRule="atLeast"/>
        <w:ind w:firstLine="600"/>
        <w:divId w:val="1653607039"/>
        <w:rPr>
          <w:rFonts w:hint="eastAsia"/>
          <w:sz w:val="30"/>
          <w:szCs w:val="30"/>
        </w:rPr>
      </w:pPr>
      <w:r>
        <w:rPr>
          <w:rFonts w:hint="eastAsia"/>
          <w:sz w:val="30"/>
          <w:szCs w:val="30"/>
        </w:rPr>
        <w:t>恩平市人民检察院以恩检诉刑诉（</w:t>
      </w:r>
      <w:r>
        <w:rPr>
          <w:rFonts w:hint="eastAsia"/>
          <w:sz w:val="30"/>
          <w:szCs w:val="30"/>
        </w:rPr>
        <w:t>2014</w:t>
      </w:r>
      <w:r>
        <w:rPr>
          <w:rFonts w:hint="eastAsia"/>
          <w:sz w:val="30"/>
          <w:szCs w:val="30"/>
        </w:rPr>
        <w:t>）</w:t>
      </w:r>
      <w:r>
        <w:rPr>
          <w:rFonts w:hint="eastAsia"/>
          <w:sz w:val="30"/>
          <w:szCs w:val="30"/>
        </w:rPr>
        <w:t>12</w:t>
      </w:r>
      <w:r>
        <w:rPr>
          <w:rFonts w:hint="eastAsia"/>
          <w:sz w:val="30"/>
          <w:szCs w:val="30"/>
        </w:rPr>
        <w:t>号起诉书指控被告人余某某犯受贿罪，于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日向本院提起公诉。本院依法组成合议庭，公开开庭审理了本案。期间恩平市人民检察院分别于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日向本院建议延期审理，本院同意其申请。本案由恩平市人民检察院检察员谢军鸿出庭支持公诉。被告人余某某及其辩护人邝日勇均到庭参加诉讼。现已审理终结。</w:t>
      </w:r>
    </w:p>
    <w:p w14:paraId="022F3B34" w14:textId="77777777" w:rsidR="00FF43C8" w:rsidRDefault="00FF43C8">
      <w:pPr>
        <w:spacing w:line="500" w:lineRule="atLeast"/>
        <w:ind w:firstLine="600"/>
        <w:divId w:val="88822683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年，恩平市熊猫水泥有限公司、恩平市盛世化工有限公司法定代表人何某某及恩平市盛世化工有限公司股东甄某某得知蔡某某有一套房产（恩平市金沙花园</w:t>
      </w:r>
      <w:r>
        <w:rPr>
          <w:rFonts w:hint="eastAsia"/>
          <w:sz w:val="30"/>
          <w:szCs w:val="30"/>
        </w:rPr>
        <w:t>2</w:t>
      </w:r>
      <w:r>
        <w:rPr>
          <w:rFonts w:hint="eastAsia"/>
          <w:sz w:val="30"/>
          <w:szCs w:val="30"/>
        </w:rPr>
        <w:t>幢</w:t>
      </w:r>
      <w:r>
        <w:rPr>
          <w:rFonts w:hint="eastAsia"/>
          <w:sz w:val="30"/>
          <w:szCs w:val="30"/>
        </w:rPr>
        <w:t>206</w:t>
      </w:r>
      <w:r>
        <w:rPr>
          <w:rFonts w:hint="eastAsia"/>
          <w:sz w:val="30"/>
          <w:szCs w:val="30"/>
        </w:rPr>
        <w:t>房及</w:t>
      </w:r>
      <w:r>
        <w:rPr>
          <w:rFonts w:hint="eastAsia"/>
          <w:sz w:val="30"/>
          <w:szCs w:val="30"/>
        </w:rPr>
        <w:t>9</w:t>
      </w:r>
      <w:r>
        <w:rPr>
          <w:rFonts w:hint="eastAsia"/>
          <w:sz w:val="30"/>
          <w:szCs w:val="30"/>
        </w:rPr>
        <w:t>号车库）出售后，为了与时任恩平市国税局班子成员、总经济师的被告人余某某搞好关系，在税收征管上得到被告人的关照，</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日，甄某某、何某某联系该房的原所有权人蔡某某、梁某某与被告人余某某签订购买涉案房产交易合同，约定价款共人民币</w:t>
      </w:r>
      <w:r>
        <w:rPr>
          <w:rFonts w:hint="eastAsia"/>
          <w:sz w:val="30"/>
          <w:szCs w:val="30"/>
        </w:rPr>
        <w:t>120799</w:t>
      </w:r>
      <w:r>
        <w:rPr>
          <w:rFonts w:hint="eastAsia"/>
          <w:sz w:val="30"/>
          <w:szCs w:val="30"/>
        </w:rPr>
        <w:t>元，交易双方并以该价格交纳税款，涉案房产于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日过户到余某某名下。</w:t>
      </w:r>
      <w:r>
        <w:rPr>
          <w:rFonts w:hint="eastAsia"/>
          <w:sz w:val="30"/>
          <w:szCs w:val="30"/>
        </w:rPr>
        <w:lastRenderedPageBreak/>
        <w:t>过户后被告人余某某给付</w:t>
      </w:r>
      <w:r>
        <w:rPr>
          <w:rFonts w:hint="eastAsia"/>
          <w:sz w:val="30"/>
          <w:szCs w:val="30"/>
        </w:rPr>
        <w:t>10</w:t>
      </w:r>
      <w:r>
        <w:rPr>
          <w:rFonts w:hint="eastAsia"/>
          <w:sz w:val="30"/>
          <w:szCs w:val="30"/>
        </w:rPr>
        <w:t>万元购房款，案发后，余某某退出赃款</w:t>
      </w:r>
      <w:r>
        <w:rPr>
          <w:rFonts w:hint="eastAsia"/>
          <w:sz w:val="30"/>
          <w:szCs w:val="30"/>
        </w:rPr>
        <w:t>20799</w:t>
      </w:r>
      <w:r>
        <w:rPr>
          <w:rFonts w:hint="eastAsia"/>
          <w:sz w:val="30"/>
          <w:szCs w:val="30"/>
        </w:rPr>
        <w:t>元。</w:t>
      </w:r>
    </w:p>
    <w:p w14:paraId="68FEEAD1" w14:textId="77777777" w:rsidR="00FF43C8" w:rsidRDefault="00FF43C8">
      <w:pPr>
        <w:spacing w:line="500" w:lineRule="atLeast"/>
        <w:ind w:firstLine="600"/>
        <w:divId w:val="832138614"/>
        <w:rPr>
          <w:rFonts w:hint="eastAsia"/>
          <w:sz w:val="30"/>
          <w:szCs w:val="30"/>
        </w:rPr>
      </w:pPr>
      <w:r>
        <w:rPr>
          <w:rFonts w:hint="eastAsia"/>
          <w:sz w:val="30"/>
          <w:szCs w:val="30"/>
        </w:rPr>
        <w:t>上述事实，被告人余某某在开庭审理过程中亦无异议，并有证人何某某、甄某某、梁某某等证人证言；被告人余某某的户籍资料、工作履历表、涉案房产买卖合同、销售发票、契税完税证等相关书证所证实，足以认定。</w:t>
      </w:r>
    </w:p>
    <w:p w14:paraId="16834539" w14:textId="77777777" w:rsidR="00FF43C8" w:rsidRDefault="00FF43C8">
      <w:pPr>
        <w:spacing w:line="500" w:lineRule="atLeast"/>
        <w:ind w:firstLine="600"/>
        <w:divId w:val="32341240"/>
        <w:rPr>
          <w:rFonts w:hint="eastAsia"/>
          <w:sz w:val="30"/>
          <w:szCs w:val="30"/>
        </w:rPr>
      </w:pPr>
      <w:r>
        <w:rPr>
          <w:rFonts w:hint="eastAsia"/>
          <w:sz w:val="30"/>
          <w:szCs w:val="30"/>
        </w:rPr>
        <w:t>本院认为：被告人余某某身为国家机关工作人员，利用职务便利，非法收受他人财物</w:t>
      </w:r>
      <w:r>
        <w:rPr>
          <w:rFonts w:hint="eastAsia"/>
          <w:sz w:val="30"/>
          <w:szCs w:val="30"/>
        </w:rPr>
        <w:t>20799</w:t>
      </w:r>
      <w:r>
        <w:rPr>
          <w:rFonts w:hint="eastAsia"/>
          <w:sz w:val="30"/>
          <w:szCs w:val="30"/>
        </w:rPr>
        <w:t>元为他人谋取利益，其行为构成受贿罪。公诉机关指控的犯罪事实清楚、证据确实充分，罪名成立。鉴于被告人在开庭审理期间自愿认罪、主动退赃，可对被告人余某某从轻处罚及适用缓刑。被告人及其辩护人提出被告人在犯罪后悔罪并认罪、是初偶犯、积极退清赃款的量刑意见本院予以采纳。根据被告人的犯罪事实及情节，经本院审判委员会讨论决定，依照《中华人民共和国刑法》第三百八十五条第一款、第三百八十六条、第三百八十三条第一款第㈢项、第六十七条第三款、第七十二条第一款、第七十三条第二、三款、第六十四条之规定，判决如下：</w:t>
      </w:r>
    </w:p>
    <w:p w14:paraId="45035866" w14:textId="77777777" w:rsidR="00FF43C8" w:rsidRDefault="00FF43C8">
      <w:pPr>
        <w:spacing w:line="500" w:lineRule="atLeast"/>
        <w:ind w:firstLine="600"/>
        <w:divId w:val="1442066599"/>
        <w:rPr>
          <w:rFonts w:hint="eastAsia"/>
          <w:sz w:val="30"/>
          <w:szCs w:val="30"/>
        </w:rPr>
      </w:pPr>
      <w:r>
        <w:rPr>
          <w:rFonts w:hint="eastAsia"/>
          <w:sz w:val="30"/>
          <w:szCs w:val="30"/>
        </w:rPr>
        <w:t>一、被告人余某某犯受贿罪，判处有期徒刑一年，缓刑一年。</w:t>
      </w:r>
    </w:p>
    <w:p w14:paraId="2C631FD7" w14:textId="77777777" w:rsidR="00FF43C8" w:rsidRDefault="00FF43C8">
      <w:pPr>
        <w:spacing w:line="500" w:lineRule="atLeast"/>
        <w:ind w:firstLine="600"/>
        <w:divId w:val="303657191"/>
        <w:rPr>
          <w:rFonts w:hint="eastAsia"/>
          <w:sz w:val="30"/>
          <w:szCs w:val="30"/>
        </w:rPr>
      </w:pPr>
      <w:r>
        <w:rPr>
          <w:rFonts w:hint="eastAsia"/>
          <w:sz w:val="30"/>
          <w:szCs w:val="30"/>
        </w:rPr>
        <w:t>（缓刑考验期从判决确定之日起计算）。</w:t>
      </w:r>
    </w:p>
    <w:p w14:paraId="71C94C53" w14:textId="77777777" w:rsidR="00FF43C8" w:rsidRDefault="00FF43C8">
      <w:pPr>
        <w:spacing w:line="500" w:lineRule="atLeast"/>
        <w:ind w:firstLine="600"/>
        <w:divId w:val="2077509646"/>
        <w:rPr>
          <w:rFonts w:hint="eastAsia"/>
          <w:sz w:val="30"/>
          <w:szCs w:val="30"/>
        </w:rPr>
      </w:pPr>
      <w:r>
        <w:rPr>
          <w:rFonts w:hint="eastAsia"/>
          <w:sz w:val="30"/>
          <w:szCs w:val="30"/>
        </w:rPr>
        <w:t>二、被告人余某某退出的违法所得人民币</w:t>
      </w:r>
      <w:r>
        <w:rPr>
          <w:rFonts w:hint="eastAsia"/>
          <w:sz w:val="30"/>
          <w:szCs w:val="30"/>
        </w:rPr>
        <w:t>20799</w:t>
      </w:r>
      <w:r>
        <w:rPr>
          <w:rFonts w:hint="eastAsia"/>
          <w:sz w:val="30"/>
          <w:szCs w:val="30"/>
        </w:rPr>
        <w:t>元予以没收，上缴国库（由扣押机关恩平市人民检察院执行移交手续）。</w:t>
      </w:r>
    </w:p>
    <w:p w14:paraId="52820875" w14:textId="77777777" w:rsidR="00FF43C8" w:rsidRDefault="00FF43C8">
      <w:pPr>
        <w:spacing w:line="500" w:lineRule="atLeast"/>
        <w:ind w:firstLine="600"/>
        <w:divId w:val="1268467368"/>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618B5787" w14:textId="77777777" w:rsidR="00FF43C8" w:rsidRDefault="00FF43C8">
      <w:pPr>
        <w:spacing w:line="500" w:lineRule="atLeast"/>
        <w:jc w:val="right"/>
        <w:divId w:val="754281001"/>
        <w:rPr>
          <w:rFonts w:hint="eastAsia"/>
          <w:sz w:val="30"/>
          <w:szCs w:val="30"/>
        </w:rPr>
      </w:pPr>
      <w:r>
        <w:rPr>
          <w:rFonts w:hint="eastAsia"/>
          <w:sz w:val="30"/>
          <w:szCs w:val="30"/>
        </w:rPr>
        <w:t>审　判　长　　吴定昂</w:t>
      </w:r>
    </w:p>
    <w:p w14:paraId="39A9CCE1" w14:textId="77777777" w:rsidR="00FF43C8" w:rsidRDefault="00FF43C8">
      <w:pPr>
        <w:spacing w:line="500" w:lineRule="atLeast"/>
        <w:jc w:val="right"/>
        <w:divId w:val="1121387339"/>
        <w:rPr>
          <w:rFonts w:hint="eastAsia"/>
          <w:sz w:val="30"/>
          <w:szCs w:val="30"/>
        </w:rPr>
      </w:pPr>
      <w:r>
        <w:rPr>
          <w:rFonts w:hint="eastAsia"/>
          <w:sz w:val="30"/>
          <w:szCs w:val="30"/>
        </w:rPr>
        <w:t>代理审判员　　卢少瑜</w:t>
      </w:r>
    </w:p>
    <w:p w14:paraId="4225B0B9" w14:textId="77777777" w:rsidR="00FF43C8" w:rsidRDefault="00FF43C8">
      <w:pPr>
        <w:spacing w:line="500" w:lineRule="atLeast"/>
        <w:jc w:val="right"/>
        <w:divId w:val="1496724546"/>
        <w:rPr>
          <w:rFonts w:hint="eastAsia"/>
          <w:sz w:val="30"/>
          <w:szCs w:val="30"/>
        </w:rPr>
      </w:pPr>
      <w:r>
        <w:rPr>
          <w:rFonts w:hint="eastAsia"/>
          <w:sz w:val="30"/>
          <w:szCs w:val="30"/>
        </w:rPr>
        <w:t>人民陪审员　　周卫国</w:t>
      </w:r>
    </w:p>
    <w:p w14:paraId="3AF99302" w14:textId="77777777" w:rsidR="00FF43C8" w:rsidRDefault="00FF43C8">
      <w:pPr>
        <w:spacing w:line="500" w:lineRule="atLeast"/>
        <w:jc w:val="right"/>
        <w:divId w:val="1426029309"/>
        <w:rPr>
          <w:rFonts w:hint="eastAsia"/>
          <w:sz w:val="30"/>
          <w:szCs w:val="30"/>
        </w:rPr>
      </w:pPr>
      <w:r>
        <w:rPr>
          <w:rFonts w:hint="eastAsia"/>
          <w:sz w:val="30"/>
          <w:szCs w:val="30"/>
        </w:rPr>
        <w:t>二〇一五年六月三十日</w:t>
      </w:r>
    </w:p>
    <w:p w14:paraId="1389797D" w14:textId="77777777" w:rsidR="00FF43C8" w:rsidRDefault="00FF43C8">
      <w:pPr>
        <w:spacing w:line="500" w:lineRule="atLeast"/>
        <w:jc w:val="right"/>
        <w:divId w:val="1674410674"/>
        <w:rPr>
          <w:rFonts w:hint="eastAsia"/>
          <w:sz w:val="30"/>
          <w:szCs w:val="30"/>
        </w:rPr>
      </w:pPr>
      <w:r>
        <w:rPr>
          <w:rFonts w:hint="eastAsia"/>
          <w:sz w:val="30"/>
          <w:szCs w:val="30"/>
        </w:rPr>
        <w:t>书　记　员　　郑丽仙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38204" w14:textId="77777777" w:rsidR="00FF43C8" w:rsidRDefault="00FF43C8" w:rsidP="00FF43C8">
      <w:pPr>
        <w:rPr>
          <w:rFonts w:hint="eastAsia"/>
        </w:rPr>
      </w:pPr>
      <w:r>
        <w:separator/>
      </w:r>
    </w:p>
  </w:endnote>
  <w:endnote w:type="continuationSeparator" w:id="0">
    <w:p w14:paraId="0C2792CD" w14:textId="77777777" w:rsidR="00FF43C8" w:rsidRDefault="00FF43C8" w:rsidP="00FF43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E606" w14:textId="77777777" w:rsidR="00FF43C8" w:rsidRDefault="00FF43C8" w:rsidP="00FF43C8">
      <w:pPr>
        <w:rPr>
          <w:rFonts w:hint="eastAsia"/>
        </w:rPr>
      </w:pPr>
      <w:r>
        <w:separator/>
      </w:r>
    </w:p>
  </w:footnote>
  <w:footnote w:type="continuationSeparator" w:id="0">
    <w:p w14:paraId="0DD4C230" w14:textId="77777777" w:rsidR="00FF43C8" w:rsidRDefault="00FF43C8" w:rsidP="00FF43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43C8"/>
    <w:rsid w:val="002A784C"/>
    <w:rsid w:val="00FF4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03249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43C8"/>
    <w:pPr>
      <w:tabs>
        <w:tab w:val="center" w:pos="4153"/>
        <w:tab w:val="right" w:pos="8306"/>
      </w:tabs>
      <w:snapToGrid w:val="0"/>
      <w:jc w:val="center"/>
    </w:pPr>
    <w:rPr>
      <w:sz w:val="18"/>
      <w:szCs w:val="18"/>
    </w:rPr>
  </w:style>
  <w:style w:type="character" w:customStyle="1" w:styleId="a4">
    <w:name w:val="页眉 字符"/>
    <w:basedOn w:val="a0"/>
    <w:link w:val="a3"/>
    <w:uiPriority w:val="99"/>
    <w:rsid w:val="00FF43C8"/>
    <w:rPr>
      <w:rFonts w:ascii="宋体" w:eastAsia="宋体" w:hAnsi="宋体" w:cs="宋体"/>
      <w:sz w:val="18"/>
      <w:szCs w:val="18"/>
    </w:rPr>
  </w:style>
  <w:style w:type="paragraph" w:styleId="a5">
    <w:name w:val="footer"/>
    <w:basedOn w:val="a"/>
    <w:link w:val="a6"/>
    <w:uiPriority w:val="99"/>
    <w:unhideWhenUsed/>
    <w:rsid w:val="00FF43C8"/>
    <w:pPr>
      <w:tabs>
        <w:tab w:val="center" w:pos="4153"/>
        <w:tab w:val="right" w:pos="8306"/>
      </w:tabs>
      <w:snapToGrid w:val="0"/>
    </w:pPr>
    <w:rPr>
      <w:sz w:val="18"/>
      <w:szCs w:val="18"/>
    </w:rPr>
  </w:style>
  <w:style w:type="character" w:customStyle="1" w:styleId="a6">
    <w:name w:val="页脚 字符"/>
    <w:basedOn w:val="a0"/>
    <w:link w:val="a5"/>
    <w:uiPriority w:val="99"/>
    <w:rsid w:val="00FF43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1240">
      <w:marLeft w:val="0"/>
      <w:marRight w:val="0"/>
      <w:marTop w:val="10"/>
      <w:marBottom w:val="10"/>
      <w:divBdr>
        <w:top w:val="none" w:sz="0" w:space="0" w:color="auto"/>
        <w:left w:val="none" w:sz="0" w:space="0" w:color="auto"/>
        <w:bottom w:val="none" w:sz="0" w:space="0" w:color="auto"/>
        <w:right w:val="none" w:sz="0" w:space="0" w:color="auto"/>
      </w:divBdr>
    </w:div>
    <w:div w:id="303657191">
      <w:marLeft w:val="0"/>
      <w:marRight w:val="0"/>
      <w:marTop w:val="10"/>
      <w:marBottom w:val="10"/>
      <w:divBdr>
        <w:top w:val="none" w:sz="0" w:space="0" w:color="auto"/>
        <w:left w:val="none" w:sz="0" w:space="0" w:color="auto"/>
        <w:bottom w:val="none" w:sz="0" w:space="0" w:color="auto"/>
        <w:right w:val="none" w:sz="0" w:space="0" w:color="auto"/>
      </w:divBdr>
    </w:div>
    <w:div w:id="420764877">
      <w:marLeft w:val="0"/>
      <w:marRight w:val="0"/>
      <w:marTop w:val="10"/>
      <w:marBottom w:val="10"/>
      <w:divBdr>
        <w:top w:val="none" w:sz="0" w:space="0" w:color="auto"/>
        <w:left w:val="none" w:sz="0" w:space="0" w:color="auto"/>
        <w:bottom w:val="none" w:sz="0" w:space="0" w:color="auto"/>
        <w:right w:val="none" w:sz="0" w:space="0" w:color="auto"/>
      </w:divBdr>
    </w:div>
    <w:div w:id="638460205">
      <w:marLeft w:val="0"/>
      <w:marRight w:val="0"/>
      <w:marTop w:val="10"/>
      <w:marBottom w:val="10"/>
      <w:divBdr>
        <w:top w:val="none" w:sz="0" w:space="0" w:color="auto"/>
        <w:left w:val="none" w:sz="0" w:space="0" w:color="auto"/>
        <w:bottom w:val="none" w:sz="0" w:space="0" w:color="auto"/>
        <w:right w:val="none" w:sz="0" w:space="0" w:color="auto"/>
      </w:divBdr>
    </w:div>
    <w:div w:id="754281001">
      <w:marLeft w:val="0"/>
      <w:marRight w:val="720"/>
      <w:marTop w:val="10"/>
      <w:marBottom w:val="10"/>
      <w:divBdr>
        <w:top w:val="none" w:sz="0" w:space="0" w:color="auto"/>
        <w:left w:val="none" w:sz="0" w:space="0" w:color="auto"/>
        <w:bottom w:val="none" w:sz="0" w:space="0" w:color="auto"/>
        <w:right w:val="none" w:sz="0" w:space="0" w:color="auto"/>
      </w:divBdr>
    </w:div>
    <w:div w:id="832138614">
      <w:marLeft w:val="0"/>
      <w:marRight w:val="0"/>
      <w:marTop w:val="10"/>
      <w:marBottom w:val="10"/>
      <w:divBdr>
        <w:top w:val="none" w:sz="0" w:space="0" w:color="auto"/>
        <w:left w:val="none" w:sz="0" w:space="0" w:color="auto"/>
        <w:bottom w:val="none" w:sz="0" w:space="0" w:color="auto"/>
        <w:right w:val="none" w:sz="0" w:space="0" w:color="auto"/>
      </w:divBdr>
    </w:div>
    <w:div w:id="888226835">
      <w:marLeft w:val="0"/>
      <w:marRight w:val="0"/>
      <w:marTop w:val="10"/>
      <w:marBottom w:val="10"/>
      <w:divBdr>
        <w:top w:val="none" w:sz="0" w:space="0" w:color="auto"/>
        <w:left w:val="none" w:sz="0" w:space="0" w:color="auto"/>
        <w:bottom w:val="none" w:sz="0" w:space="0" w:color="auto"/>
        <w:right w:val="none" w:sz="0" w:space="0" w:color="auto"/>
      </w:divBdr>
    </w:div>
    <w:div w:id="1121387339">
      <w:marLeft w:val="0"/>
      <w:marRight w:val="720"/>
      <w:marTop w:val="10"/>
      <w:marBottom w:val="10"/>
      <w:divBdr>
        <w:top w:val="none" w:sz="0" w:space="0" w:color="auto"/>
        <w:left w:val="none" w:sz="0" w:space="0" w:color="auto"/>
        <w:bottom w:val="none" w:sz="0" w:space="0" w:color="auto"/>
        <w:right w:val="none" w:sz="0" w:space="0" w:color="auto"/>
      </w:divBdr>
    </w:div>
    <w:div w:id="1180434471">
      <w:marLeft w:val="0"/>
      <w:marRight w:val="0"/>
      <w:marTop w:val="10"/>
      <w:marBottom w:val="10"/>
      <w:divBdr>
        <w:top w:val="none" w:sz="0" w:space="0" w:color="auto"/>
        <w:left w:val="none" w:sz="0" w:space="0" w:color="auto"/>
        <w:bottom w:val="none" w:sz="0" w:space="0" w:color="auto"/>
        <w:right w:val="none" w:sz="0" w:space="0" w:color="auto"/>
      </w:divBdr>
    </w:div>
    <w:div w:id="1268467368">
      <w:marLeft w:val="0"/>
      <w:marRight w:val="0"/>
      <w:marTop w:val="10"/>
      <w:marBottom w:val="10"/>
      <w:divBdr>
        <w:top w:val="none" w:sz="0" w:space="0" w:color="auto"/>
        <w:left w:val="none" w:sz="0" w:space="0" w:color="auto"/>
        <w:bottom w:val="none" w:sz="0" w:space="0" w:color="auto"/>
        <w:right w:val="none" w:sz="0" w:space="0" w:color="auto"/>
      </w:divBdr>
    </w:div>
    <w:div w:id="1336687644">
      <w:marLeft w:val="0"/>
      <w:marRight w:val="0"/>
      <w:marTop w:val="10"/>
      <w:marBottom w:val="10"/>
      <w:divBdr>
        <w:top w:val="none" w:sz="0" w:space="0" w:color="auto"/>
        <w:left w:val="none" w:sz="0" w:space="0" w:color="auto"/>
        <w:bottom w:val="none" w:sz="0" w:space="0" w:color="auto"/>
        <w:right w:val="none" w:sz="0" w:space="0" w:color="auto"/>
      </w:divBdr>
    </w:div>
    <w:div w:id="1426029309">
      <w:marLeft w:val="0"/>
      <w:marRight w:val="720"/>
      <w:marTop w:val="10"/>
      <w:marBottom w:val="10"/>
      <w:divBdr>
        <w:top w:val="none" w:sz="0" w:space="0" w:color="auto"/>
        <w:left w:val="none" w:sz="0" w:space="0" w:color="auto"/>
        <w:bottom w:val="none" w:sz="0" w:space="0" w:color="auto"/>
        <w:right w:val="none" w:sz="0" w:space="0" w:color="auto"/>
      </w:divBdr>
    </w:div>
    <w:div w:id="1442066599">
      <w:marLeft w:val="0"/>
      <w:marRight w:val="0"/>
      <w:marTop w:val="10"/>
      <w:marBottom w:val="10"/>
      <w:divBdr>
        <w:top w:val="none" w:sz="0" w:space="0" w:color="auto"/>
        <w:left w:val="none" w:sz="0" w:space="0" w:color="auto"/>
        <w:bottom w:val="none" w:sz="0" w:space="0" w:color="auto"/>
        <w:right w:val="none" w:sz="0" w:space="0" w:color="auto"/>
      </w:divBdr>
    </w:div>
    <w:div w:id="1496724546">
      <w:marLeft w:val="0"/>
      <w:marRight w:val="720"/>
      <w:marTop w:val="10"/>
      <w:marBottom w:val="10"/>
      <w:divBdr>
        <w:top w:val="none" w:sz="0" w:space="0" w:color="auto"/>
        <w:left w:val="none" w:sz="0" w:space="0" w:color="auto"/>
        <w:bottom w:val="none" w:sz="0" w:space="0" w:color="auto"/>
        <w:right w:val="none" w:sz="0" w:space="0" w:color="auto"/>
      </w:divBdr>
    </w:div>
    <w:div w:id="1558593293">
      <w:marLeft w:val="0"/>
      <w:marRight w:val="0"/>
      <w:marTop w:val="10"/>
      <w:marBottom w:val="10"/>
      <w:divBdr>
        <w:top w:val="none" w:sz="0" w:space="0" w:color="auto"/>
        <w:left w:val="none" w:sz="0" w:space="0" w:color="auto"/>
        <w:bottom w:val="none" w:sz="0" w:space="0" w:color="auto"/>
        <w:right w:val="none" w:sz="0" w:space="0" w:color="auto"/>
      </w:divBdr>
    </w:div>
    <w:div w:id="1653607039">
      <w:marLeft w:val="0"/>
      <w:marRight w:val="0"/>
      <w:marTop w:val="10"/>
      <w:marBottom w:val="10"/>
      <w:divBdr>
        <w:top w:val="none" w:sz="0" w:space="0" w:color="auto"/>
        <w:left w:val="none" w:sz="0" w:space="0" w:color="auto"/>
        <w:bottom w:val="none" w:sz="0" w:space="0" w:color="auto"/>
        <w:right w:val="none" w:sz="0" w:space="0" w:color="auto"/>
      </w:divBdr>
    </w:div>
    <w:div w:id="1674410674">
      <w:marLeft w:val="0"/>
      <w:marRight w:val="720"/>
      <w:marTop w:val="10"/>
      <w:marBottom w:val="10"/>
      <w:divBdr>
        <w:top w:val="none" w:sz="0" w:space="0" w:color="auto"/>
        <w:left w:val="none" w:sz="0" w:space="0" w:color="auto"/>
        <w:bottom w:val="none" w:sz="0" w:space="0" w:color="auto"/>
        <w:right w:val="none" w:sz="0" w:space="0" w:color="auto"/>
      </w:divBdr>
    </w:div>
    <w:div w:id="2023436803">
      <w:marLeft w:val="0"/>
      <w:marRight w:val="0"/>
      <w:marTop w:val="10"/>
      <w:marBottom w:val="10"/>
      <w:divBdr>
        <w:top w:val="none" w:sz="0" w:space="0" w:color="auto"/>
        <w:left w:val="none" w:sz="0" w:space="0" w:color="auto"/>
        <w:bottom w:val="none" w:sz="0" w:space="0" w:color="auto"/>
        <w:right w:val="none" w:sz="0" w:space="0" w:color="auto"/>
      </w:divBdr>
    </w:div>
    <w:div w:id="20775096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