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4BD1" w14:textId="77777777" w:rsidR="00D15481" w:rsidRDefault="00D15481">
      <w:pPr>
        <w:spacing w:line="500" w:lineRule="atLeast"/>
        <w:jc w:val="center"/>
        <w:divId w:val="1300066114"/>
        <w:rPr>
          <w:rFonts w:ascii="黑体" w:eastAsia="黑体" w:hAnsi="黑体"/>
          <w:sz w:val="36"/>
          <w:szCs w:val="36"/>
        </w:rPr>
      </w:pPr>
      <w:r>
        <w:rPr>
          <w:rFonts w:ascii="黑体" w:eastAsia="黑体" w:hAnsi="黑体" w:hint="eastAsia"/>
          <w:sz w:val="36"/>
          <w:szCs w:val="36"/>
        </w:rPr>
        <w:t>广东省佛山市南海区人民法院</w:t>
      </w:r>
    </w:p>
    <w:p w14:paraId="0E897E79" w14:textId="77777777" w:rsidR="00D15481" w:rsidRDefault="00D15481">
      <w:pPr>
        <w:spacing w:line="500" w:lineRule="atLeast"/>
        <w:jc w:val="center"/>
        <w:divId w:val="15816024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C5B0DD" w14:textId="77777777" w:rsidR="00D15481" w:rsidRDefault="00D15481">
      <w:pPr>
        <w:spacing w:line="500" w:lineRule="atLeast"/>
        <w:jc w:val="right"/>
        <w:divId w:val="1601178172"/>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5036</w:t>
      </w:r>
      <w:r>
        <w:rPr>
          <w:rFonts w:hint="eastAsia"/>
          <w:sz w:val="30"/>
          <w:szCs w:val="30"/>
        </w:rPr>
        <w:t>号</w:t>
      </w:r>
    </w:p>
    <w:p w14:paraId="7A1EDE01" w14:textId="77777777" w:rsidR="00D15481" w:rsidRDefault="00D15481">
      <w:pPr>
        <w:spacing w:line="500" w:lineRule="atLeast"/>
        <w:ind w:firstLine="600"/>
        <w:divId w:val="554238169"/>
        <w:rPr>
          <w:rFonts w:hint="eastAsia"/>
          <w:sz w:val="30"/>
          <w:szCs w:val="30"/>
        </w:rPr>
      </w:pPr>
      <w:r>
        <w:rPr>
          <w:rFonts w:hint="eastAsia"/>
          <w:sz w:val="30"/>
          <w:szCs w:val="30"/>
        </w:rPr>
        <w:t>公诉机关佛山市南海区人民检察院。</w:t>
      </w:r>
    </w:p>
    <w:p w14:paraId="0D37D6C2" w14:textId="77777777" w:rsidR="00D15481" w:rsidRDefault="00D15481">
      <w:pPr>
        <w:spacing w:line="500" w:lineRule="atLeast"/>
        <w:ind w:firstLine="600"/>
        <w:divId w:val="320161937"/>
        <w:rPr>
          <w:rFonts w:hint="eastAsia"/>
          <w:sz w:val="30"/>
          <w:szCs w:val="30"/>
        </w:rPr>
      </w:pPr>
      <w:r>
        <w:rPr>
          <w:rFonts w:hint="eastAsia"/>
          <w:sz w:val="30"/>
          <w:szCs w:val="30"/>
        </w:rPr>
        <w:t>被告单位佛山市泰盈投资有限公司（以下简称泰盈公司），住所地：佛山市禅城区佛山大道中</w:t>
      </w:r>
      <w:r>
        <w:rPr>
          <w:rFonts w:hint="eastAsia"/>
          <w:sz w:val="30"/>
          <w:szCs w:val="30"/>
        </w:rPr>
        <w:t>31</w:t>
      </w:r>
      <w:r>
        <w:rPr>
          <w:rFonts w:hint="eastAsia"/>
          <w:sz w:val="30"/>
          <w:szCs w:val="30"/>
        </w:rPr>
        <w:t>号弼东大厦三楼之四，法定代表人：罗兆恩。</w:t>
      </w:r>
    </w:p>
    <w:p w14:paraId="323696D6" w14:textId="77777777" w:rsidR="00D15481" w:rsidRDefault="00D15481">
      <w:pPr>
        <w:spacing w:line="500" w:lineRule="atLeast"/>
        <w:ind w:firstLine="600"/>
        <w:divId w:val="183859741"/>
        <w:rPr>
          <w:rFonts w:hint="eastAsia"/>
          <w:sz w:val="30"/>
          <w:szCs w:val="30"/>
        </w:rPr>
      </w:pPr>
      <w:r>
        <w:rPr>
          <w:rFonts w:hint="eastAsia"/>
          <w:sz w:val="30"/>
          <w:szCs w:val="30"/>
        </w:rPr>
        <w:t>诉讼代表人罗文江，泰盈公司办公室主任。</w:t>
      </w:r>
    </w:p>
    <w:p w14:paraId="734558B8" w14:textId="77777777" w:rsidR="00D15481" w:rsidRDefault="00D15481">
      <w:pPr>
        <w:spacing w:line="500" w:lineRule="atLeast"/>
        <w:ind w:firstLine="600"/>
        <w:divId w:val="1541627174"/>
        <w:rPr>
          <w:rFonts w:hint="eastAsia"/>
          <w:sz w:val="30"/>
          <w:szCs w:val="30"/>
        </w:rPr>
      </w:pPr>
      <w:r>
        <w:rPr>
          <w:rFonts w:hint="eastAsia"/>
          <w:sz w:val="30"/>
          <w:szCs w:val="30"/>
        </w:rPr>
        <w:t>被告人罗伟锐，男，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日出生于佛山市南海区，汉族，大专文化，泰盈公司业务总经理，住南海区，因本案于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20</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日被取保候审。</w:t>
      </w:r>
    </w:p>
    <w:p w14:paraId="466987E6" w14:textId="77777777" w:rsidR="00D15481" w:rsidRDefault="00D15481">
      <w:pPr>
        <w:spacing w:line="500" w:lineRule="atLeast"/>
        <w:ind w:firstLine="600"/>
        <w:divId w:val="725644912"/>
        <w:rPr>
          <w:rFonts w:hint="eastAsia"/>
          <w:sz w:val="30"/>
          <w:szCs w:val="30"/>
        </w:rPr>
      </w:pPr>
      <w:r>
        <w:rPr>
          <w:rFonts w:hint="eastAsia"/>
          <w:sz w:val="30"/>
          <w:szCs w:val="30"/>
        </w:rPr>
        <w:t>辩护人庄志茂、杜丽怡，广东众淼律师事务所律师、实习律师。</w:t>
      </w:r>
    </w:p>
    <w:p w14:paraId="598F6289" w14:textId="77777777" w:rsidR="00D15481" w:rsidRDefault="00D15481">
      <w:pPr>
        <w:spacing w:line="500" w:lineRule="atLeast"/>
        <w:ind w:firstLine="600"/>
        <w:divId w:val="1450785283"/>
        <w:rPr>
          <w:rFonts w:hint="eastAsia"/>
          <w:sz w:val="30"/>
          <w:szCs w:val="30"/>
        </w:rPr>
      </w:pPr>
      <w:r>
        <w:rPr>
          <w:rFonts w:hint="eastAsia"/>
          <w:sz w:val="30"/>
          <w:szCs w:val="30"/>
        </w:rPr>
        <w:t>佛山市南海区人民检察院以佛南检公诉刑诉</w:t>
      </w:r>
      <w:r>
        <w:rPr>
          <w:rFonts w:hint="eastAsia"/>
          <w:sz w:val="30"/>
          <w:szCs w:val="30"/>
        </w:rPr>
        <w:t>[2016]4461</w:t>
      </w:r>
      <w:r>
        <w:rPr>
          <w:rFonts w:hint="eastAsia"/>
          <w:sz w:val="30"/>
          <w:szCs w:val="30"/>
        </w:rPr>
        <w:t>号起诉书指控被告单位泰盈公司、被告人罗伟锐犯单位行贿罪，于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日向本院提起公诉并建议适用简易程序审理。本院于同年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转换适用普通程序，组成合议庭，公开开庭审理了本案。南海区人民检察院指派检察员陆婉瑶出庭支持公诉，泰盈公司的诉讼代表人罗文江、罗伟锐及辩护人庄志茂、杜丽怡均到庭参加了诉讼。本案现已审理终结。</w:t>
      </w:r>
    </w:p>
    <w:p w14:paraId="6CC415C2" w14:textId="77777777" w:rsidR="00D15481" w:rsidRDefault="00D15481">
      <w:pPr>
        <w:spacing w:line="500" w:lineRule="atLeast"/>
        <w:ind w:firstLine="600"/>
        <w:divId w:val="423844547"/>
        <w:rPr>
          <w:rFonts w:hint="eastAsia"/>
          <w:sz w:val="30"/>
          <w:szCs w:val="30"/>
        </w:rPr>
      </w:pPr>
      <w:r>
        <w:rPr>
          <w:rFonts w:hint="eastAsia"/>
          <w:sz w:val="30"/>
          <w:szCs w:val="30"/>
        </w:rPr>
        <w:t>公诉机关指控，佛山市南海区桂城街道西约村经联社名下全资公司南海市和基房地产开发公司（以下简称“和基公司”）于</w:t>
      </w:r>
      <w:r>
        <w:rPr>
          <w:rFonts w:hint="eastAsia"/>
          <w:sz w:val="30"/>
          <w:szCs w:val="30"/>
        </w:rPr>
        <w:t>2002</w:t>
      </w:r>
      <w:r>
        <w:rPr>
          <w:rFonts w:hint="eastAsia"/>
          <w:sz w:val="30"/>
          <w:szCs w:val="30"/>
        </w:rPr>
        <w:t>年通过与政府签订《交换使用土地协议书》，于</w:t>
      </w:r>
      <w:r>
        <w:rPr>
          <w:rFonts w:hint="eastAsia"/>
          <w:sz w:val="30"/>
          <w:szCs w:val="30"/>
        </w:rPr>
        <w:t>2003</w:t>
      </w:r>
      <w:r>
        <w:rPr>
          <w:rFonts w:hint="eastAsia"/>
          <w:sz w:val="30"/>
          <w:szCs w:val="30"/>
        </w:rPr>
        <w:t>年获得包括桂澜路西侧</w:t>
      </w:r>
      <w:r>
        <w:rPr>
          <w:rFonts w:hint="eastAsia"/>
          <w:sz w:val="30"/>
          <w:szCs w:val="30"/>
        </w:rPr>
        <w:t>75</w:t>
      </w:r>
      <w:r>
        <w:rPr>
          <w:rFonts w:hint="eastAsia"/>
          <w:sz w:val="30"/>
          <w:szCs w:val="30"/>
        </w:rPr>
        <w:t>街区多个地块的国有土地使用权，并可作建商品住宅用地。</w:t>
      </w:r>
      <w:r>
        <w:rPr>
          <w:rFonts w:hint="eastAsia"/>
          <w:sz w:val="30"/>
          <w:szCs w:val="30"/>
        </w:rPr>
        <w:t>2013</w:t>
      </w:r>
      <w:r>
        <w:rPr>
          <w:rFonts w:hint="eastAsia"/>
          <w:sz w:val="30"/>
          <w:szCs w:val="30"/>
        </w:rPr>
        <w:t>年，被告单位佛山市泰盈投资有限公司（以下简称“泰盈公司”）打算竟投桂澜路西侧</w:t>
      </w:r>
      <w:r>
        <w:rPr>
          <w:rFonts w:hint="eastAsia"/>
          <w:sz w:val="30"/>
          <w:szCs w:val="30"/>
        </w:rPr>
        <w:t>75</w:t>
      </w:r>
      <w:r>
        <w:rPr>
          <w:rFonts w:hint="eastAsia"/>
          <w:sz w:val="30"/>
          <w:szCs w:val="30"/>
        </w:rPr>
        <w:lastRenderedPageBreak/>
        <w:t>街区地块的建设开发项目，时任泰盈公司总经理的被告人罗伟锐遂找到西约经联社社长丘某（另案处理）、西约社区居民委员会主任李某</w:t>
      </w:r>
      <w:r>
        <w:rPr>
          <w:rFonts w:hint="eastAsia"/>
          <w:sz w:val="30"/>
          <w:szCs w:val="30"/>
        </w:rPr>
        <w:t>1</w:t>
      </w:r>
      <w:r>
        <w:rPr>
          <w:rFonts w:hint="eastAsia"/>
          <w:sz w:val="30"/>
          <w:szCs w:val="30"/>
        </w:rPr>
        <w:t>（另案处理）等村干部，其后通过多次宴请及送礼，希望能得到西约经联社及村委的帮忙及协助，使项目得以顺利推进。</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月，泰盈公司作为唯一符合竟投资格人员成功竞投得该开发项目，并与西约经联社及和基公司签订共同开发建设桂澜路西侧</w:t>
      </w:r>
      <w:r>
        <w:rPr>
          <w:rFonts w:hint="eastAsia"/>
          <w:sz w:val="30"/>
          <w:szCs w:val="30"/>
        </w:rPr>
        <w:t>75</w:t>
      </w:r>
      <w:r>
        <w:rPr>
          <w:rFonts w:hint="eastAsia"/>
          <w:sz w:val="30"/>
          <w:szCs w:val="30"/>
        </w:rPr>
        <w:t>街区的合作协议。</w:t>
      </w:r>
    </w:p>
    <w:p w14:paraId="39839436" w14:textId="77777777" w:rsidR="00D15481" w:rsidRDefault="00D15481">
      <w:pPr>
        <w:spacing w:line="500" w:lineRule="atLeast"/>
        <w:ind w:firstLine="600"/>
        <w:divId w:val="2091274845"/>
        <w:rPr>
          <w:rFonts w:hint="eastAsia"/>
          <w:sz w:val="30"/>
          <w:szCs w:val="30"/>
        </w:rPr>
      </w:pPr>
      <w:r>
        <w:rPr>
          <w:rFonts w:hint="eastAsia"/>
          <w:sz w:val="30"/>
          <w:szCs w:val="30"/>
        </w:rPr>
        <w:t>期间，在</w:t>
      </w:r>
      <w:r>
        <w:rPr>
          <w:rFonts w:hint="eastAsia"/>
          <w:sz w:val="30"/>
          <w:szCs w:val="30"/>
        </w:rPr>
        <w:t>2014</w:t>
      </w:r>
      <w:r>
        <w:rPr>
          <w:rFonts w:hint="eastAsia"/>
          <w:sz w:val="30"/>
          <w:szCs w:val="30"/>
        </w:rPr>
        <w:t>年中、</w:t>
      </w:r>
      <w:r>
        <w:rPr>
          <w:rFonts w:hint="eastAsia"/>
          <w:sz w:val="30"/>
          <w:szCs w:val="30"/>
        </w:rPr>
        <w:t>2015</w:t>
      </w:r>
      <w:r>
        <w:rPr>
          <w:rFonts w:hint="eastAsia"/>
          <w:sz w:val="30"/>
          <w:szCs w:val="30"/>
        </w:rPr>
        <w:t>年春节前，为感谢丘某的配合与帮忙，被告人罗伟锐先后两次送给丘某的好处费共计</w:t>
      </w:r>
      <w:r>
        <w:rPr>
          <w:rFonts w:hint="eastAsia"/>
          <w:sz w:val="30"/>
          <w:szCs w:val="30"/>
        </w:rPr>
        <w:t>30</w:t>
      </w:r>
      <w:r>
        <w:rPr>
          <w:rFonts w:hint="eastAsia"/>
          <w:sz w:val="30"/>
          <w:szCs w:val="30"/>
        </w:rPr>
        <w:t>万元。另外，为了感谢李某</w:t>
      </w:r>
      <w:r>
        <w:rPr>
          <w:rFonts w:hint="eastAsia"/>
          <w:sz w:val="30"/>
          <w:szCs w:val="30"/>
        </w:rPr>
        <w:t>1</w:t>
      </w:r>
      <w:r>
        <w:rPr>
          <w:rFonts w:hint="eastAsia"/>
          <w:sz w:val="30"/>
          <w:szCs w:val="30"/>
        </w:rPr>
        <w:t>的帮忙，也为了今后项目的推进能得到李某</w:t>
      </w:r>
      <w:r>
        <w:rPr>
          <w:rFonts w:hint="eastAsia"/>
          <w:sz w:val="30"/>
          <w:szCs w:val="30"/>
        </w:rPr>
        <w:t>1</w:t>
      </w:r>
      <w:r>
        <w:rPr>
          <w:rFonts w:hint="eastAsia"/>
          <w:sz w:val="30"/>
          <w:szCs w:val="30"/>
        </w:rPr>
        <w:t>更多的关照，罗伟锐在李某</w:t>
      </w:r>
      <w:r>
        <w:rPr>
          <w:rFonts w:hint="eastAsia"/>
          <w:sz w:val="30"/>
          <w:szCs w:val="30"/>
        </w:rPr>
        <w:t>1</w:t>
      </w:r>
      <w:r>
        <w:rPr>
          <w:rFonts w:hint="eastAsia"/>
          <w:sz w:val="30"/>
          <w:szCs w:val="30"/>
        </w:rPr>
        <w:t>表示存在经济团难需要“借款”后立即愿意“借款”，并在不问原因、不了解李某</w:t>
      </w:r>
      <w:r>
        <w:rPr>
          <w:rFonts w:hint="eastAsia"/>
          <w:sz w:val="30"/>
          <w:szCs w:val="30"/>
        </w:rPr>
        <w:t>1</w:t>
      </w:r>
      <w:r>
        <w:rPr>
          <w:rFonts w:hint="eastAsia"/>
          <w:sz w:val="30"/>
          <w:szCs w:val="30"/>
        </w:rPr>
        <w:t>还款能力，也不立借据、不商量还款利息及期限的情况下，在</w:t>
      </w:r>
      <w:r>
        <w:rPr>
          <w:rFonts w:hint="eastAsia"/>
          <w:sz w:val="30"/>
          <w:szCs w:val="30"/>
        </w:rPr>
        <w:t>2015</w:t>
      </w:r>
      <w:r>
        <w:rPr>
          <w:rFonts w:hint="eastAsia"/>
          <w:sz w:val="30"/>
          <w:szCs w:val="30"/>
        </w:rPr>
        <w:t>年中、</w:t>
      </w:r>
      <w:r>
        <w:rPr>
          <w:rFonts w:hint="eastAsia"/>
          <w:sz w:val="30"/>
          <w:szCs w:val="30"/>
        </w:rPr>
        <w:t>2016</w:t>
      </w:r>
      <w:r>
        <w:rPr>
          <w:rFonts w:hint="eastAsia"/>
          <w:sz w:val="30"/>
          <w:szCs w:val="30"/>
        </w:rPr>
        <w:t>年初，先后两次通过李某</w:t>
      </w:r>
      <w:r>
        <w:rPr>
          <w:rFonts w:hint="eastAsia"/>
          <w:sz w:val="30"/>
          <w:szCs w:val="30"/>
        </w:rPr>
        <w:t>2</w:t>
      </w:r>
      <w:r>
        <w:rPr>
          <w:rFonts w:hint="eastAsia"/>
          <w:sz w:val="30"/>
          <w:szCs w:val="30"/>
        </w:rPr>
        <w:t>送给李某</w:t>
      </w:r>
      <w:r>
        <w:rPr>
          <w:rFonts w:hint="eastAsia"/>
          <w:sz w:val="30"/>
          <w:szCs w:val="30"/>
        </w:rPr>
        <w:t>1</w:t>
      </w:r>
      <w:r>
        <w:rPr>
          <w:rFonts w:hint="eastAsia"/>
          <w:sz w:val="30"/>
          <w:szCs w:val="30"/>
        </w:rPr>
        <w:t>现金共计</w:t>
      </w:r>
      <w:r>
        <w:rPr>
          <w:rFonts w:hint="eastAsia"/>
          <w:sz w:val="30"/>
          <w:szCs w:val="30"/>
        </w:rPr>
        <w:t>70</w:t>
      </w:r>
      <w:r>
        <w:rPr>
          <w:rFonts w:hint="eastAsia"/>
          <w:sz w:val="30"/>
          <w:szCs w:val="30"/>
        </w:rPr>
        <w:t>万元。</w:t>
      </w:r>
    </w:p>
    <w:p w14:paraId="07D9A247" w14:textId="77777777" w:rsidR="00D15481" w:rsidRDefault="00D15481">
      <w:pPr>
        <w:spacing w:line="500" w:lineRule="atLeast"/>
        <w:ind w:firstLine="600"/>
        <w:divId w:val="1306204665"/>
        <w:rPr>
          <w:rFonts w:hint="eastAsia"/>
          <w:sz w:val="30"/>
          <w:szCs w:val="30"/>
        </w:rPr>
      </w:pPr>
      <w:r>
        <w:rPr>
          <w:rFonts w:hint="eastAsia"/>
          <w:sz w:val="30"/>
          <w:szCs w:val="30"/>
        </w:rPr>
        <w:t>综上，被告单位泰盈公司向丘某、李某</w:t>
      </w:r>
      <w:r>
        <w:rPr>
          <w:rFonts w:hint="eastAsia"/>
          <w:sz w:val="30"/>
          <w:szCs w:val="30"/>
        </w:rPr>
        <w:t>1</w:t>
      </w:r>
      <w:r>
        <w:rPr>
          <w:rFonts w:hint="eastAsia"/>
          <w:sz w:val="30"/>
          <w:szCs w:val="30"/>
        </w:rPr>
        <w:t>行贿共计</w:t>
      </w:r>
      <w:r>
        <w:rPr>
          <w:rFonts w:hint="eastAsia"/>
          <w:sz w:val="30"/>
          <w:szCs w:val="30"/>
        </w:rPr>
        <w:t>100</w:t>
      </w:r>
      <w:r>
        <w:rPr>
          <w:rFonts w:hint="eastAsia"/>
          <w:sz w:val="30"/>
          <w:szCs w:val="30"/>
        </w:rPr>
        <w:t>万元。</w:t>
      </w:r>
    </w:p>
    <w:p w14:paraId="43333C49" w14:textId="77777777" w:rsidR="00D15481" w:rsidRDefault="00D15481">
      <w:pPr>
        <w:spacing w:line="500" w:lineRule="atLeast"/>
        <w:ind w:firstLine="600"/>
        <w:divId w:val="79719178"/>
        <w:rPr>
          <w:rFonts w:hint="eastAsia"/>
          <w:sz w:val="30"/>
          <w:szCs w:val="30"/>
        </w:rPr>
      </w:pPr>
      <w:r>
        <w:rPr>
          <w:rFonts w:hint="eastAsia"/>
          <w:sz w:val="30"/>
          <w:szCs w:val="30"/>
        </w:rPr>
        <w:t>就上述指控，公诉机关向法庭出示了证人丘某、李某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、徐某的证言，侦查机关出具的到案经过，李某</w:t>
      </w:r>
      <w:r>
        <w:rPr>
          <w:rFonts w:hint="eastAsia"/>
          <w:sz w:val="30"/>
          <w:szCs w:val="30"/>
        </w:rPr>
        <w:t>1</w:t>
      </w:r>
      <w:r>
        <w:rPr>
          <w:rFonts w:hint="eastAsia"/>
          <w:sz w:val="30"/>
          <w:szCs w:val="30"/>
        </w:rPr>
        <w:t>、谭某、罗伟锐的银行账户流水，关于西约村土地调整工作会议纪要、区国土资源局文件、国家土地使用权出让合同、农村集体资产交易意向立项申请表、合作资格竞投公告、合作协议书等桂澜地块相关资料，泰盈公司工商登记资料，人口信息，罗伟锐在侦查阶段的供述等证据予以证实，并认为泰盈公司和罗伟锐的行为均已触犯了《中华人民共和国刑法》第三百九十三条之规定，应当以单位行贿罪追究其刑事责任；罗伟锐在被追诉前能够主动交代行贿行为，应当依照《中华人民共和国刑法》第三百九十条第二款之规定处罚。</w:t>
      </w:r>
    </w:p>
    <w:p w14:paraId="1F9C82BB" w14:textId="77777777" w:rsidR="00D15481" w:rsidRDefault="00D15481">
      <w:pPr>
        <w:spacing w:line="500" w:lineRule="atLeast"/>
        <w:ind w:firstLine="600"/>
        <w:divId w:val="171650431"/>
        <w:rPr>
          <w:rFonts w:hint="eastAsia"/>
          <w:sz w:val="30"/>
          <w:szCs w:val="30"/>
        </w:rPr>
      </w:pPr>
      <w:r>
        <w:rPr>
          <w:rFonts w:hint="eastAsia"/>
          <w:sz w:val="30"/>
          <w:szCs w:val="30"/>
        </w:rPr>
        <w:t>被告单位泰盈公司和被告人罗伟锐对公诉机关的指控均无异议。</w:t>
      </w:r>
    </w:p>
    <w:p w14:paraId="524FFAFA" w14:textId="77777777" w:rsidR="00D15481" w:rsidRDefault="00D15481">
      <w:pPr>
        <w:spacing w:line="500" w:lineRule="atLeast"/>
        <w:ind w:firstLine="600"/>
        <w:divId w:val="46533449"/>
        <w:rPr>
          <w:rFonts w:hint="eastAsia"/>
          <w:sz w:val="30"/>
          <w:szCs w:val="30"/>
        </w:rPr>
      </w:pPr>
      <w:r>
        <w:rPr>
          <w:rFonts w:hint="eastAsia"/>
          <w:sz w:val="30"/>
          <w:szCs w:val="30"/>
        </w:rPr>
        <w:t>被告人罗伟锐的辩护人的辩护意见为：罗伟锐有自首情节，在被追诉前主动交代行贿行为，认罪态度好，且其犯罪情节相对较轻、主观恶性小，故请求对罗伟锐从轻处罚并适用缓刑。</w:t>
      </w:r>
    </w:p>
    <w:p w14:paraId="615C27C1" w14:textId="77777777" w:rsidR="00D15481" w:rsidRDefault="00D15481">
      <w:pPr>
        <w:spacing w:line="500" w:lineRule="atLeast"/>
        <w:ind w:firstLine="600"/>
        <w:divId w:val="1839685792"/>
        <w:rPr>
          <w:rFonts w:hint="eastAsia"/>
          <w:sz w:val="30"/>
          <w:szCs w:val="30"/>
        </w:rPr>
      </w:pPr>
      <w:r>
        <w:rPr>
          <w:rFonts w:hint="eastAsia"/>
          <w:sz w:val="30"/>
          <w:szCs w:val="30"/>
        </w:rPr>
        <w:t>经审理查明，公诉机关指控被告单位泰盈公司、被告人罗伟锐向他人行贿共</w:t>
      </w:r>
      <w:r>
        <w:rPr>
          <w:rFonts w:hint="eastAsia"/>
          <w:sz w:val="30"/>
          <w:szCs w:val="30"/>
        </w:rPr>
        <w:t>100</w:t>
      </w:r>
      <w:r>
        <w:rPr>
          <w:rFonts w:hint="eastAsia"/>
          <w:sz w:val="30"/>
          <w:szCs w:val="30"/>
        </w:rPr>
        <w:t>万元的事实清楚，证据确实、充分，本院予以确认。</w:t>
      </w:r>
    </w:p>
    <w:p w14:paraId="276DF646" w14:textId="77777777" w:rsidR="00D15481" w:rsidRDefault="00D15481">
      <w:pPr>
        <w:spacing w:line="500" w:lineRule="atLeast"/>
        <w:ind w:firstLine="600"/>
        <w:divId w:val="85880552"/>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日，经佛山市南海区纪委电话通知，被告人罗伟锐自行到纪委接受调查，纪委当日将案件移送至南海区人民检察院立案侦查。该事实有南海区人民检察院出具的到案经过予以证实。</w:t>
      </w:r>
    </w:p>
    <w:p w14:paraId="408DA921" w14:textId="77777777" w:rsidR="00D15481" w:rsidRDefault="00D15481">
      <w:pPr>
        <w:spacing w:line="500" w:lineRule="atLeast"/>
        <w:ind w:firstLine="600"/>
        <w:divId w:val="1848522357"/>
        <w:rPr>
          <w:rFonts w:hint="eastAsia"/>
          <w:sz w:val="30"/>
          <w:szCs w:val="30"/>
        </w:rPr>
      </w:pPr>
      <w:r>
        <w:rPr>
          <w:rFonts w:hint="eastAsia"/>
          <w:sz w:val="30"/>
          <w:szCs w:val="30"/>
        </w:rPr>
        <w:t>关于本案的行贿事实的定性问题，经查，根据《全国人大常委会关</w:t>
      </w:r>
      <w:r>
        <w:rPr>
          <w:rFonts w:hint="eastAsia"/>
          <w:sz w:val="30"/>
          <w:szCs w:val="30"/>
        </w:rPr>
        <w:t>于</w:t>
      </w:r>
      <w:r>
        <w:rPr>
          <w:rFonts w:hint="eastAsia"/>
          <w:sz w:val="30"/>
          <w:szCs w:val="30"/>
        </w:rPr>
        <w:t>第九十三条第二款的解释》的规定，村委会等村基层组织人员只有在协助人民政府从事行政管理工作时，才能被认定为其他依照法律从事公务的人员，即国家工作人员。也就是说只有在协助政府从事政府的相关行政管理工作时，村委会等村基层组织人员才能以政府名义参与组织、领导、监督、管理和人民群众利益以及社会的发展相关的国家事务和政府事务的活动，其工作才能体现国家对社会的组织、管理职能。故首先需要厘清本案事实涉及的相关事务到底是政府的事务还是村基层组织自身的事务。相关国有土地使用权证显示涉案国有土地的使用权人为和基公司，而和基公司的唯一股东为西约经联社，相关土地开发项目的合作协议的签订主体也是西约经联社、和基公司和泰盈公司，因此，相关土地的建设开发项目并不存在西约村的人员协助人民政府从事行政管理工作的情况，相关人员在从事该事务工作时不应认定为国家工作人员。综上，由于李某</w:t>
      </w:r>
      <w:r>
        <w:rPr>
          <w:rFonts w:hint="eastAsia"/>
          <w:sz w:val="30"/>
          <w:szCs w:val="30"/>
        </w:rPr>
        <w:t>1</w:t>
      </w:r>
      <w:r>
        <w:rPr>
          <w:rFonts w:hint="eastAsia"/>
          <w:sz w:val="30"/>
          <w:szCs w:val="30"/>
        </w:rPr>
        <w:t>、丘某在本案中均不属于国家工作人员，故公诉机关所指控的行贿事实应定性为对非国家工作人员受贿更为妥当。</w:t>
      </w:r>
    </w:p>
    <w:p w14:paraId="159E3EB1" w14:textId="77777777" w:rsidR="00D15481" w:rsidRDefault="00D15481">
      <w:pPr>
        <w:spacing w:line="500" w:lineRule="atLeast"/>
        <w:ind w:firstLine="600"/>
        <w:divId w:val="1354768527"/>
        <w:rPr>
          <w:rFonts w:hint="eastAsia"/>
          <w:sz w:val="30"/>
          <w:szCs w:val="30"/>
        </w:rPr>
      </w:pPr>
      <w:r>
        <w:rPr>
          <w:rFonts w:hint="eastAsia"/>
          <w:sz w:val="30"/>
          <w:szCs w:val="30"/>
        </w:rPr>
        <w:t>本院认为，被告单位泰盈公司为谋取不正当利益而行贿，给予其他单位的工作人员以财物，数额较大，被告人罗伟锐作为直接负责的主管人员，其行为均已构成对非国家工作人员行贿罪。公诉机关所控罪名成立。罗伟锐在被追诉前主动交待行贿行为，依法对泰盈公司和罗伟锐从轻处罚并对罗伟锐适用缓刑。采纳辩护人的相关辩护意见。依照《中华人民共和国刑法》第一百六十四条、第七十二条第一、三款、第七十三条第二、三款、第五十二条、第五十三条之规定，判决如下：</w:t>
      </w:r>
    </w:p>
    <w:p w14:paraId="72D7CEC2" w14:textId="77777777" w:rsidR="00D15481" w:rsidRDefault="00D15481">
      <w:pPr>
        <w:spacing w:line="500" w:lineRule="atLeast"/>
        <w:ind w:firstLine="600"/>
        <w:divId w:val="747309724"/>
        <w:rPr>
          <w:rFonts w:hint="eastAsia"/>
          <w:sz w:val="30"/>
          <w:szCs w:val="30"/>
        </w:rPr>
      </w:pPr>
      <w:r>
        <w:rPr>
          <w:rFonts w:hint="eastAsia"/>
          <w:sz w:val="30"/>
          <w:szCs w:val="30"/>
        </w:rPr>
        <w:t>一、被告单位佛山市泰盈投资有限公司犯对非国家工作人员行贿罪，判处罚金人民币二十万元（罚金从本判决发生法律效力之日起</w:t>
      </w:r>
      <w:r>
        <w:rPr>
          <w:rFonts w:hint="eastAsia"/>
          <w:sz w:val="30"/>
          <w:szCs w:val="30"/>
        </w:rPr>
        <w:t>30</w:t>
      </w:r>
      <w:r>
        <w:rPr>
          <w:rFonts w:hint="eastAsia"/>
          <w:sz w:val="30"/>
          <w:szCs w:val="30"/>
        </w:rPr>
        <w:t>日内缴纳）。</w:t>
      </w:r>
    </w:p>
    <w:p w14:paraId="5C23ED19" w14:textId="77777777" w:rsidR="00D15481" w:rsidRDefault="00D15481">
      <w:pPr>
        <w:spacing w:line="500" w:lineRule="atLeast"/>
        <w:ind w:firstLine="600"/>
        <w:divId w:val="7997283"/>
        <w:rPr>
          <w:rFonts w:hint="eastAsia"/>
          <w:sz w:val="30"/>
          <w:szCs w:val="30"/>
        </w:rPr>
      </w:pPr>
      <w:r>
        <w:rPr>
          <w:rFonts w:hint="eastAsia"/>
          <w:sz w:val="30"/>
          <w:szCs w:val="30"/>
        </w:rPr>
        <w:t>二、被告人罗伟锐犯对非国家工作人员行贿罪，判处有期徒刑一年，缓刑一年六个月，并处罚金人民币十五万元（缓刑考验期限，从判决确定之日起计算。罚金从本判决发生法律效力之日起</w:t>
      </w:r>
      <w:r>
        <w:rPr>
          <w:rFonts w:hint="eastAsia"/>
          <w:sz w:val="30"/>
          <w:szCs w:val="30"/>
        </w:rPr>
        <w:t>30</w:t>
      </w:r>
      <w:r>
        <w:rPr>
          <w:rFonts w:hint="eastAsia"/>
          <w:sz w:val="30"/>
          <w:szCs w:val="30"/>
        </w:rPr>
        <w:t>日内缴纳）。</w:t>
      </w:r>
    </w:p>
    <w:p w14:paraId="694BC566" w14:textId="77777777" w:rsidR="00D15481" w:rsidRDefault="00D15481">
      <w:pPr>
        <w:spacing w:line="500" w:lineRule="atLeast"/>
        <w:ind w:firstLine="600"/>
        <w:divId w:val="193219841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AE0DAC9" w14:textId="77777777" w:rsidR="00D15481" w:rsidRDefault="00D15481">
      <w:pPr>
        <w:spacing w:line="500" w:lineRule="atLeast"/>
        <w:jc w:val="right"/>
        <w:divId w:val="1172332467"/>
        <w:rPr>
          <w:rFonts w:hint="eastAsia"/>
          <w:sz w:val="30"/>
          <w:szCs w:val="30"/>
        </w:rPr>
      </w:pPr>
      <w:r>
        <w:rPr>
          <w:rFonts w:hint="eastAsia"/>
          <w:sz w:val="30"/>
          <w:szCs w:val="30"/>
        </w:rPr>
        <w:t>审　判　长　　李江婧</w:t>
      </w:r>
    </w:p>
    <w:p w14:paraId="3F3606BE" w14:textId="77777777" w:rsidR="00D15481" w:rsidRDefault="00D15481">
      <w:pPr>
        <w:spacing w:line="500" w:lineRule="atLeast"/>
        <w:jc w:val="right"/>
        <w:divId w:val="1996567347"/>
        <w:rPr>
          <w:rFonts w:hint="eastAsia"/>
          <w:sz w:val="30"/>
          <w:szCs w:val="30"/>
        </w:rPr>
      </w:pPr>
      <w:r>
        <w:rPr>
          <w:rFonts w:hint="eastAsia"/>
          <w:sz w:val="30"/>
          <w:szCs w:val="30"/>
        </w:rPr>
        <w:t>人民陪审员　　甘湛虹</w:t>
      </w:r>
    </w:p>
    <w:p w14:paraId="16AD89EE" w14:textId="77777777" w:rsidR="00D15481" w:rsidRDefault="00D15481">
      <w:pPr>
        <w:spacing w:line="500" w:lineRule="atLeast"/>
        <w:jc w:val="right"/>
        <w:divId w:val="822509087"/>
        <w:rPr>
          <w:rFonts w:hint="eastAsia"/>
          <w:sz w:val="30"/>
          <w:szCs w:val="30"/>
        </w:rPr>
      </w:pPr>
      <w:r>
        <w:rPr>
          <w:rFonts w:hint="eastAsia"/>
          <w:sz w:val="30"/>
          <w:szCs w:val="30"/>
        </w:rPr>
        <w:t>人民陪审员　　周少冰</w:t>
      </w:r>
    </w:p>
    <w:p w14:paraId="1A914050" w14:textId="77777777" w:rsidR="00D15481" w:rsidRDefault="00D15481">
      <w:pPr>
        <w:spacing w:line="500" w:lineRule="atLeast"/>
        <w:jc w:val="right"/>
        <w:divId w:val="588807572"/>
        <w:rPr>
          <w:rFonts w:hint="eastAsia"/>
          <w:sz w:val="30"/>
          <w:szCs w:val="30"/>
        </w:rPr>
      </w:pPr>
      <w:r>
        <w:rPr>
          <w:rFonts w:hint="eastAsia"/>
          <w:sz w:val="30"/>
          <w:szCs w:val="30"/>
        </w:rPr>
        <w:t>二〇一七年八月十六日</w:t>
      </w:r>
    </w:p>
    <w:p w14:paraId="515CF02A" w14:textId="77777777" w:rsidR="00D15481" w:rsidRDefault="00D15481">
      <w:pPr>
        <w:spacing w:line="500" w:lineRule="atLeast"/>
        <w:jc w:val="right"/>
        <w:divId w:val="1243374361"/>
        <w:rPr>
          <w:rFonts w:hint="eastAsia"/>
          <w:sz w:val="30"/>
          <w:szCs w:val="30"/>
        </w:rPr>
      </w:pPr>
      <w:r>
        <w:rPr>
          <w:rFonts w:hint="eastAsia"/>
          <w:sz w:val="30"/>
          <w:szCs w:val="30"/>
        </w:rPr>
        <w:t>书　记　员　　黄　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0E4F4" w14:textId="77777777" w:rsidR="00D15481" w:rsidRDefault="00D15481" w:rsidP="00D15481">
      <w:pPr>
        <w:rPr>
          <w:rFonts w:hint="eastAsia"/>
        </w:rPr>
      </w:pPr>
      <w:r>
        <w:separator/>
      </w:r>
    </w:p>
  </w:endnote>
  <w:endnote w:type="continuationSeparator" w:id="0">
    <w:p w14:paraId="609BFE39" w14:textId="77777777" w:rsidR="00D15481" w:rsidRDefault="00D15481" w:rsidP="00D154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39C5" w14:textId="77777777" w:rsidR="00D15481" w:rsidRDefault="00D15481" w:rsidP="00D15481">
      <w:pPr>
        <w:rPr>
          <w:rFonts w:hint="eastAsia"/>
        </w:rPr>
      </w:pPr>
      <w:r>
        <w:separator/>
      </w:r>
    </w:p>
  </w:footnote>
  <w:footnote w:type="continuationSeparator" w:id="0">
    <w:p w14:paraId="17180085" w14:textId="77777777" w:rsidR="00D15481" w:rsidRDefault="00D15481" w:rsidP="00D154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5481"/>
    <w:rsid w:val="002A784C"/>
    <w:rsid w:val="00D15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D394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5481"/>
    <w:pPr>
      <w:tabs>
        <w:tab w:val="center" w:pos="4153"/>
        <w:tab w:val="right" w:pos="8306"/>
      </w:tabs>
      <w:snapToGrid w:val="0"/>
      <w:jc w:val="center"/>
    </w:pPr>
    <w:rPr>
      <w:sz w:val="18"/>
      <w:szCs w:val="18"/>
    </w:rPr>
  </w:style>
  <w:style w:type="character" w:customStyle="1" w:styleId="a4">
    <w:name w:val="页眉 字符"/>
    <w:basedOn w:val="a0"/>
    <w:link w:val="a3"/>
    <w:uiPriority w:val="99"/>
    <w:rsid w:val="00D15481"/>
    <w:rPr>
      <w:rFonts w:ascii="宋体" w:eastAsia="宋体" w:hAnsi="宋体" w:cs="宋体"/>
      <w:sz w:val="18"/>
      <w:szCs w:val="18"/>
    </w:rPr>
  </w:style>
  <w:style w:type="paragraph" w:styleId="a5">
    <w:name w:val="footer"/>
    <w:basedOn w:val="a"/>
    <w:link w:val="a6"/>
    <w:uiPriority w:val="99"/>
    <w:unhideWhenUsed/>
    <w:rsid w:val="00D15481"/>
    <w:pPr>
      <w:tabs>
        <w:tab w:val="center" w:pos="4153"/>
        <w:tab w:val="right" w:pos="8306"/>
      </w:tabs>
      <w:snapToGrid w:val="0"/>
    </w:pPr>
    <w:rPr>
      <w:sz w:val="18"/>
      <w:szCs w:val="18"/>
    </w:rPr>
  </w:style>
  <w:style w:type="character" w:customStyle="1" w:styleId="a6">
    <w:name w:val="页脚 字符"/>
    <w:basedOn w:val="a0"/>
    <w:link w:val="a5"/>
    <w:uiPriority w:val="99"/>
    <w:rsid w:val="00D154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7283">
      <w:marLeft w:val="0"/>
      <w:marRight w:val="0"/>
      <w:marTop w:val="10"/>
      <w:marBottom w:val="10"/>
      <w:divBdr>
        <w:top w:val="none" w:sz="0" w:space="0" w:color="auto"/>
        <w:left w:val="none" w:sz="0" w:space="0" w:color="auto"/>
        <w:bottom w:val="none" w:sz="0" w:space="0" w:color="auto"/>
        <w:right w:val="none" w:sz="0" w:space="0" w:color="auto"/>
      </w:divBdr>
    </w:div>
    <w:div w:id="46533449">
      <w:marLeft w:val="0"/>
      <w:marRight w:val="0"/>
      <w:marTop w:val="10"/>
      <w:marBottom w:val="10"/>
      <w:divBdr>
        <w:top w:val="none" w:sz="0" w:space="0" w:color="auto"/>
        <w:left w:val="none" w:sz="0" w:space="0" w:color="auto"/>
        <w:bottom w:val="none" w:sz="0" w:space="0" w:color="auto"/>
        <w:right w:val="none" w:sz="0" w:space="0" w:color="auto"/>
      </w:divBdr>
    </w:div>
    <w:div w:id="79719178">
      <w:marLeft w:val="0"/>
      <w:marRight w:val="0"/>
      <w:marTop w:val="10"/>
      <w:marBottom w:val="10"/>
      <w:divBdr>
        <w:top w:val="none" w:sz="0" w:space="0" w:color="auto"/>
        <w:left w:val="none" w:sz="0" w:space="0" w:color="auto"/>
        <w:bottom w:val="none" w:sz="0" w:space="0" w:color="auto"/>
        <w:right w:val="none" w:sz="0" w:space="0" w:color="auto"/>
      </w:divBdr>
    </w:div>
    <w:div w:id="85880552">
      <w:marLeft w:val="0"/>
      <w:marRight w:val="0"/>
      <w:marTop w:val="10"/>
      <w:marBottom w:val="10"/>
      <w:divBdr>
        <w:top w:val="none" w:sz="0" w:space="0" w:color="auto"/>
        <w:left w:val="none" w:sz="0" w:space="0" w:color="auto"/>
        <w:bottom w:val="none" w:sz="0" w:space="0" w:color="auto"/>
        <w:right w:val="none" w:sz="0" w:space="0" w:color="auto"/>
      </w:divBdr>
    </w:div>
    <w:div w:id="171650431">
      <w:marLeft w:val="0"/>
      <w:marRight w:val="0"/>
      <w:marTop w:val="10"/>
      <w:marBottom w:val="10"/>
      <w:divBdr>
        <w:top w:val="none" w:sz="0" w:space="0" w:color="auto"/>
        <w:left w:val="none" w:sz="0" w:space="0" w:color="auto"/>
        <w:bottom w:val="none" w:sz="0" w:space="0" w:color="auto"/>
        <w:right w:val="none" w:sz="0" w:space="0" w:color="auto"/>
      </w:divBdr>
    </w:div>
    <w:div w:id="183859741">
      <w:marLeft w:val="0"/>
      <w:marRight w:val="0"/>
      <w:marTop w:val="10"/>
      <w:marBottom w:val="10"/>
      <w:divBdr>
        <w:top w:val="none" w:sz="0" w:space="0" w:color="auto"/>
        <w:left w:val="none" w:sz="0" w:space="0" w:color="auto"/>
        <w:bottom w:val="none" w:sz="0" w:space="0" w:color="auto"/>
        <w:right w:val="none" w:sz="0" w:space="0" w:color="auto"/>
      </w:divBdr>
    </w:div>
    <w:div w:id="320161937">
      <w:marLeft w:val="0"/>
      <w:marRight w:val="0"/>
      <w:marTop w:val="10"/>
      <w:marBottom w:val="10"/>
      <w:divBdr>
        <w:top w:val="none" w:sz="0" w:space="0" w:color="auto"/>
        <w:left w:val="none" w:sz="0" w:space="0" w:color="auto"/>
        <w:bottom w:val="none" w:sz="0" w:space="0" w:color="auto"/>
        <w:right w:val="none" w:sz="0" w:space="0" w:color="auto"/>
      </w:divBdr>
    </w:div>
    <w:div w:id="423844547">
      <w:marLeft w:val="0"/>
      <w:marRight w:val="0"/>
      <w:marTop w:val="10"/>
      <w:marBottom w:val="10"/>
      <w:divBdr>
        <w:top w:val="none" w:sz="0" w:space="0" w:color="auto"/>
        <w:left w:val="none" w:sz="0" w:space="0" w:color="auto"/>
        <w:bottom w:val="none" w:sz="0" w:space="0" w:color="auto"/>
        <w:right w:val="none" w:sz="0" w:space="0" w:color="auto"/>
      </w:divBdr>
    </w:div>
    <w:div w:id="554238169">
      <w:marLeft w:val="0"/>
      <w:marRight w:val="0"/>
      <w:marTop w:val="10"/>
      <w:marBottom w:val="10"/>
      <w:divBdr>
        <w:top w:val="none" w:sz="0" w:space="0" w:color="auto"/>
        <w:left w:val="none" w:sz="0" w:space="0" w:color="auto"/>
        <w:bottom w:val="none" w:sz="0" w:space="0" w:color="auto"/>
        <w:right w:val="none" w:sz="0" w:space="0" w:color="auto"/>
      </w:divBdr>
    </w:div>
    <w:div w:id="588807572">
      <w:marLeft w:val="0"/>
      <w:marRight w:val="720"/>
      <w:marTop w:val="10"/>
      <w:marBottom w:val="10"/>
      <w:divBdr>
        <w:top w:val="none" w:sz="0" w:space="0" w:color="auto"/>
        <w:left w:val="none" w:sz="0" w:space="0" w:color="auto"/>
        <w:bottom w:val="none" w:sz="0" w:space="0" w:color="auto"/>
        <w:right w:val="none" w:sz="0" w:space="0" w:color="auto"/>
      </w:divBdr>
    </w:div>
    <w:div w:id="725644912">
      <w:marLeft w:val="0"/>
      <w:marRight w:val="0"/>
      <w:marTop w:val="10"/>
      <w:marBottom w:val="10"/>
      <w:divBdr>
        <w:top w:val="none" w:sz="0" w:space="0" w:color="auto"/>
        <w:left w:val="none" w:sz="0" w:space="0" w:color="auto"/>
        <w:bottom w:val="none" w:sz="0" w:space="0" w:color="auto"/>
        <w:right w:val="none" w:sz="0" w:space="0" w:color="auto"/>
      </w:divBdr>
    </w:div>
    <w:div w:id="747309724">
      <w:marLeft w:val="0"/>
      <w:marRight w:val="0"/>
      <w:marTop w:val="10"/>
      <w:marBottom w:val="10"/>
      <w:divBdr>
        <w:top w:val="none" w:sz="0" w:space="0" w:color="auto"/>
        <w:left w:val="none" w:sz="0" w:space="0" w:color="auto"/>
        <w:bottom w:val="none" w:sz="0" w:space="0" w:color="auto"/>
        <w:right w:val="none" w:sz="0" w:space="0" w:color="auto"/>
      </w:divBdr>
    </w:div>
    <w:div w:id="822509087">
      <w:marLeft w:val="0"/>
      <w:marRight w:val="720"/>
      <w:marTop w:val="10"/>
      <w:marBottom w:val="10"/>
      <w:divBdr>
        <w:top w:val="none" w:sz="0" w:space="0" w:color="auto"/>
        <w:left w:val="none" w:sz="0" w:space="0" w:color="auto"/>
        <w:bottom w:val="none" w:sz="0" w:space="0" w:color="auto"/>
        <w:right w:val="none" w:sz="0" w:space="0" w:color="auto"/>
      </w:divBdr>
    </w:div>
    <w:div w:id="1172332467">
      <w:marLeft w:val="0"/>
      <w:marRight w:val="720"/>
      <w:marTop w:val="10"/>
      <w:marBottom w:val="10"/>
      <w:divBdr>
        <w:top w:val="none" w:sz="0" w:space="0" w:color="auto"/>
        <w:left w:val="none" w:sz="0" w:space="0" w:color="auto"/>
        <w:bottom w:val="none" w:sz="0" w:space="0" w:color="auto"/>
        <w:right w:val="none" w:sz="0" w:space="0" w:color="auto"/>
      </w:divBdr>
    </w:div>
    <w:div w:id="1243374361">
      <w:marLeft w:val="0"/>
      <w:marRight w:val="720"/>
      <w:marTop w:val="10"/>
      <w:marBottom w:val="10"/>
      <w:divBdr>
        <w:top w:val="none" w:sz="0" w:space="0" w:color="auto"/>
        <w:left w:val="none" w:sz="0" w:space="0" w:color="auto"/>
        <w:bottom w:val="none" w:sz="0" w:space="0" w:color="auto"/>
        <w:right w:val="none" w:sz="0" w:space="0" w:color="auto"/>
      </w:divBdr>
    </w:div>
    <w:div w:id="1300066114">
      <w:marLeft w:val="0"/>
      <w:marRight w:val="0"/>
      <w:marTop w:val="10"/>
      <w:marBottom w:val="10"/>
      <w:divBdr>
        <w:top w:val="none" w:sz="0" w:space="0" w:color="auto"/>
        <w:left w:val="none" w:sz="0" w:space="0" w:color="auto"/>
        <w:bottom w:val="none" w:sz="0" w:space="0" w:color="auto"/>
        <w:right w:val="none" w:sz="0" w:space="0" w:color="auto"/>
      </w:divBdr>
    </w:div>
    <w:div w:id="1306204665">
      <w:marLeft w:val="0"/>
      <w:marRight w:val="0"/>
      <w:marTop w:val="10"/>
      <w:marBottom w:val="10"/>
      <w:divBdr>
        <w:top w:val="none" w:sz="0" w:space="0" w:color="auto"/>
        <w:left w:val="none" w:sz="0" w:space="0" w:color="auto"/>
        <w:bottom w:val="none" w:sz="0" w:space="0" w:color="auto"/>
        <w:right w:val="none" w:sz="0" w:space="0" w:color="auto"/>
      </w:divBdr>
    </w:div>
    <w:div w:id="1354768527">
      <w:marLeft w:val="0"/>
      <w:marRight w:val="0"/>
      <w:marTop w:val="10"/>
      <w:marBottom w:val="10"/>
      <w:divBdr>
        <w:top w:val="none" w:sz="0" w:space="0" w:color="auto"/>
        <w:left w:val="none" w:sz="0" w:space="0" w:color="auto"/>
        <w:bottom w:val="none" w:sz="0" w:space="0" w:color="auto"/>
        <w:right w:val="none" w:sz="0" w:space="0" w:color="auto"/>
      </w:divBdr>
    </w:div>
    <w:div w:id="1450785283">
      <w:marLeft w:val="0"/>
      <w:marRight w:val="0"/>
      <w:marTop w:val="10"/>
      <w:marBottom w:val="10"/>
      <w:divBdr>
        <w:top w:val="none" w:sz="0" w:space="0" w:color="auto"/>
        <w:left w:val="none" w:sz="0" w:space="0" w:color="auto"/>
        <w:bottom w:val="none" w:sz="0" w:space="0" w:color="auto"/>
        <w:right w:val="none" w:sz="0" w:space="0" w:color="auto"/>
      </w:divBdr>
    </w:div>
    <w:div w:id="1541627174">
      <w:marLeft w:val="0"/>
      <w:marRight w:val="0"/>
      <w:marTop w:val="10"/>
      <w:marBottom w:val="10"/>
      <w:divBdr>
        <w:top w:val="none" w:sz="0" w:space="0" w:color="auto"/>
        <w:left w:val="none" w:sz="0" w:space="0" w:color="auto"/>
        <w:bottom w:val="none" w:sz="0" w:space="0" w:color="auto"/>
        <w:right w:val="none" w:sz="0" w:space="0" w:color="auto"/>
      </w:divBdr>
    </w:div>
    <w:div w:id="1581602467">
      <w:marLeft w:val="0"/>
      <w:marRight w:val="0"/>
      <w:marTop w:val="10"/>
      <w:marBottom w:val="10"/>
      <w:divBdr>
        <w:top w:val="none" w:sz="0" w:space="0" w:color="auto"/>
        <w:left w:val="none" w:sz="0" w:space="0" w:color="auto"/>
        <w:bottom w:val="none" w:sz="0" w:space="0" w:color="auto"/>
        <w:right w:val="none" w:sz="0" w:space="0" w:color="auto"/>
      </w:divBdr>
    </w:div>
    <w:div w:id="1601178172">
      <w:marLeft w:val="0"/>
      <w:marRight w:val="0"/>
      <w:marTop w:val="10"/>
      <w:marBottom w:val="10"/>
      <w:divBdr>
        <w:top w:val="none" w:sz="0" w:space="0" w:color="auto"/>
        <w:left w:val="none" w:sz="0" w:space="0" w:color="auto"/>
        <w:bottom w:val="none" w:sz="0" w:space="0" w:color="auto"/>
        <w:right w:val="none" w:sz="0" w:space="0" w:color="auto"/>
      </w:divBdr>
    </w:div>
    <w:div w:id="1839685792">
      <w:marLeft w:val="0"/>
      <w:marRight w:val="0"/>
      <w:marTop w:val="10"/>
      <w:marBottom w:val="10"/>
      <w:divBdr>
        <w:top w:val="none" w:sz="0" w:space="0" w:color="auto"/>
        <w:left w:val="none" w:sz="0" w:space="0" w:color="auto"/>
        <w:bottom w:val="none" w:sz="0" w:space="0" w:color="auto"/>
        <w:right w:val="none" w:sz="0" w:space="0" w:color="auto"/>
      </w:divBdr>
    </w:div>
    <w:div w:id="1848522357">
      <w:marLeft w:val="0"/>
      <w:marRight w:val="0"/>
      <w:marTop w:val="10"/>
      <w:marBottom w:val="10"/>
      <w:divBdr>
        <w:top w:val="none" w:sz="0" w:space="0" w:color="auto"/>
        <w:left w:val="none" w:sz="0" w:space="0" w:color="auto"/>
        <w:bottom w:val="none" w:sz="0" w:space="0" w:color="auto"/>
        <w:right w:val="none" w:sz="0" w:space="0" w:color="auto"/>
      </w:divBdr>
    </w:div>
    <w:div w:id="1932198413">
      <w:marLeft w:val="0"/>
      <w:marRight w:val="0"/>
      <w:marTop w:val="10"/>
      <w:marBottom w:val="10"/>
      <w:divBdr>
        <w:top w:val="none" w:sz="0" w:space="0" w:color="auto"/>
        <w:left w:val="none" w:sz="0" w:space="0" w:color="auto"/>
        <w:bottom w:val="none" w:sz="0" w:space="0" w:color="auto"/>
        <w:right w:val="none" w:sz="0" w:space="0" w:color="auto"/>
      </w:divBdr>
    </w:div>
    <w:div w:id="1996567347">
      <w:marLeft w:val="0"/>
      <w:marRight w:val="720"/>
      <w:marTop w:val="10"/>
      <w:marBottom w:val="10"/>
      <w:divBdr>
        <w:top w:val="none" w:sz="0" w:space="0" w:color="auto"/>
        <w:left w:val="none" w:sz="0" w:space="0" w:color="auto"/>
        <w:bottom w:val="none" w:sz="0" w:space="0" w:color="auto"/>
        <w:right w:val="none" w:sz="0" w:space="0" w:color="auto"/>
      </w:divBdr>
    </w:div>
    <w:div w:id="20912748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