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70BAF" w14:textId="77777777" w:rsidR="008F141F" w:rsidRDefault="008F141F">
      <w:pPr>
        <w:spacing w:line="500" w:lineRule="atLeast"/>
        <w:jc w:val="center"/>
        <w:divId w:val="1841500515"/>
        <w:rPr>
          <w:rFonts w:ascii="黑体" w:eastAsia="黑体" w:hAnsi="黑体"/>
          <w:sz w:val="36"/>
          <w:szCs w:val="36"/>
        </w:rPr>
      </w:pPr>
      <w:r>
        <w:rPr>
          <w:rFonts w:ascii="黑体" w:eastAsia="黑体" w:hAnsi="黑体" w:hint="eastAsia"/>
          <w:sz w:val="36"/>
          <w:szCs w:val="36"/>
        </w:rPr>
        <w:t>广东省广州市荔湾区人民法院</w:t>
      </w:r>
    </w:p>
    <w:p w14:paraId="5CD80EAA" w14:textId="77777777" w:rsidR="008F141F" w:rsidRDefault="008F141F">
      <w:pPr>
        <w:spacing w:line="500" w:lineRule="atLeast"/>
        <w:jc w:val="center"/>
        <w:divId w:val="2397549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B784A5" w14:textId="77777777" w:rsidR="008F141F" w:rsidRDefault="008F141F">
      <w:pPr>
        <w:spacing w:line="500" w:lineRule="atLeast"/>
        <w:jc w:val="right"/>
        <w:divId w:val="1944877438"/>
        <w:rPr>
          <w:rFonts w:hint="eastAsia"/>
          <w:sz w:val="30"/>
          <w:szCs w:val="30"/>
        </w:rPr>
      </w:pP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1304</w:t>
      </w:r>
      <w:r>
        <w:rPr>
          <w:rFonts w:hint="eastAsia"/>
          <w:sz w:val="30"/>
          <w:szCs w:val="30"/>
        </w:rPr>
        <w:t>号</w:t>
      </w:r>
    </w:p>
    <w:p w14:paraId="06689592" w14:textId="77777777" w:rsidR="008F141F" w:rsidRDefault="008F141F">
      <w:pPr>
        <w:spacing w:line="500" w:lineRule="atLeast"/>
        <w:ind w:firstLine="600"/>
        <w:divId w:val="2025011189"/>
        <w:rPr>
          <w:rFonts w:hint="eastAsia"/>
          <w:sz w:val="30"/>
          <w:szCs w:val="30"/>
        </w:rPr>
      </w:pPr>
      <w:r>
        <w:rPr>
          <w:rFonts w:hint="eastAsia"/>
          <w:sz w:val="30"/>
          <w:szCs w:val="30"/>
        </w:rPr>
        <w:t>公诉机关广州市荔湾区人民检察院。</w:t>
      </w:r>
    </w:p>
    <w:p w14:paraId="753EBD87" w14:textId="77777777" w:rsidR="008F141F" w:rsidRDefault="008F141F">
      <w:pPr>
        <w:spacing w:line="500" w:lineRule="atLeast"/>
        <w:ind w:firstLine="600"/>
        <w:divId w:val="1046485150"/>
        <w:rPr>
          <w:rFonts w:hint="eastAsia"/>
          <w:sz w:val="30"/>
          <w:szCs w:val="30"/>
        </w:rPr>
      </w:pPr>
      <w:r>
        <w:rPr>
          <w:rFonts w:hint="eastAsia"/>
          <w:sz w:val="30"/>
          <w:szCs w:val="30"/>
        </w:rPr>
        <w:t>被告人侯南秋，男，</w:t>
      </w:r>
      <w:r>
        <w:rPr>
          <w:rFonts w:hint="eastAsia"/>
          <w:sz w:val="30"/>
          <w:szCs w:val="30"/>
        </w:rPr>
        <w:t>1959</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日出生，汉族，文化程度大专，中共党员，原广东迎宾馆副总经理，住广州市越秀区。因本案于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日被取保候审。</w:t>
      </w:r>
    </w:p>
    <w:p w14:paraId="02F9ECCB" w14:textId="77777777" w:rsidR="008F141F" w:rsidRDefault="008F141F">
      <w:pPr>
        <w:spacing w:line="500" w:lineRule="atLeast"/>
        <w:ind w:firstLine="600"/>
        <w:divId w:val="2137140845"/>
        <w:rPr>
          <w:rFonts w:hint="eastAsia"/>
          <w:sz w:val="30"/>
          <w:szCs w:val="30"/>
        </w:rPr>
      </w:pPr>
      <w:r>
        <w:rPr>
          <w:rFonts w:hint="eastAsia"/>
          <w:sz w:val="30"/>
          <w:szCs w:val="30"/>
        </w:rPr>
        <w:t>指定辩护人冼健英，广东诺臣律师事务所律师。</w:t>
      </w:r>
    </w:p>
    <w:p w14:paraId="48FDC7E4" w14:textId="77777777" w:rsidR="008F141F" w:rsidRDefault="008F141F">
      <w:pPr>
        <w:spacing w:line="500" w:lineRule="atLeast"/>
        <w:ind w:firstLine="600"/>
        <w:divId w:val="420151806"/>
        <w:rPr>
          <w:rFonts w:hint="eastAsia"/>
          <w:sz w:val="30"/>
          <w:szCs w:val="30"/>
        </w:rPr>
      </w:pPr>
      <w:r>
        <w:rPr>
          <w:rFonts w:hint="eastAsia"/>
          <w:sz w:val="30"/>
          <w:szCs w:val="30"/>
        </w:rPr>
        <w:t>公诉机关以穗荔检诉刑诉</w:t>
      </w:r>
      <w:r>
        <w:rPr>
          <w:rFonts w:hint="eastAsia"/>
          <w:sz w:val="30"/>
          <w:szCs w:val="30"/>
        </w:rPr>
        <w:t>[2017]1223</w:t>
      </w:r>
      <w:r>
        <w:rPr>
          <w:rFonts w:hint="eastAsia"/>
          <w:sz w:val="30"/>
          <w:szCs w:val="30"/>
        </w:rPr>
        <w:t>号起诉书指控被告人侯南秋犯私分国有资产罪，于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日向本院提起公诉。本院受理后，依法组成合议庭，公开开庭审理了本案。公诉机关指派检察员周亮出庭支持公诉，被告人侯南秋及指定辩护人冼健英均到庭参加了诉讼。现已审理终结。</w:t>
      </w:r>
    </w:p>
    <w:p w14:paraId="4AEA4CBF" w14:textId="77777777" w:rsidR="008F141F" w:rsidRDefault="008F141F">
      <w:pPr>
        <w:spacing w:line="500" w:lineRule="atLeast"/>
        <w:ind w:firstLine="600"/>
        <w:divId w:val="2143844083"/>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间，被告人侯南秋时任广东迎宾馆（以下简称：迎宾馆）副总经理，伙同同案洪某、冯某、朱某（均另案处理）等其他班子成员，集体讨论决定以虚开发票、虚列成本等方式套取迎宾馆资金，并将套取的账外资金先后多次以现金和消费卡的形式私分给个人，共计人民币</w:t>
      </w:r>
      <w:r>
        <w:rPr>
          <w:rFonts w:hint="eastAsia"/>
          <w:sz w:val="30"/>
          <w:szCs w:val="30"/>
        </w:rPr>
        <w:t>1854307.83</w:t>
      </w:r>
      <w:r>
        <w:rPr>
          <w:rFonts w:hint="eastAsia"/>
          <w:sz w:val="30"/>
          <w:szCs w:val="30"/>
        </w:rPr>
        <w:t>元。其中被告人侯南秋个人分得账外薪酬及消费卡资金共计人民币</w:t>
      </w:r>
      <w:r>
        <w:rPr>
          <w:rFonts w:hint="eastAsia"/>
          <w:sz w:val="30"/>
          <w:szCs w:val="30"/>
        </w:rPr>
        <w:t>149658</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月，被告人侯南秋向广东迎宾馆共退回人民币</w:t>
      </w:r>
      <w:r>
        <w:rPr>
          <w:rFonts w:hint="eastAsia"/>
          <w:sz w:val="30"/>
          <w:szCs w:val="30"/>
        </w:rPr>
        <w:t>102093</w:t>
      </w:r>
      <w:r>
        <w:rPr>
          <w:rFonts w:hint="eastAsia"/>
          <w:sz w:val="30"/>
          <w:szCs w:val="30"/>
        </w:rPr>
        <w:t>元。</w:t>
      </w:r>
    </w:p>
    <w:p w14:paraId="198F20D8" w14:textId="77777777" w:rsidR="008F141F" w:rsidRDefault="008F141F">
      <w:pPr>
        <w:spacing w:line="500" w:lineRule="atLeast"/>
        <w:ind w:firstLine="600"/>
        <w:divId w:val="2132477847"/>
        <w:rPr>
          <w:rFonts w:hint="eastAsia"/>
          <w:sz w:val="30"/>
          <w:szCs w:val="30"/>
        </w:rPr>
      </w:pPr>
      <w:r>
        <w:rPr>
          <w:rFonts w:hint="eastAsia"/>
          <w:sz w:val="30"/>
          <w:szCs w:val="30"/>
        </w:rPr>
        <w:t>公诉机关认为，被告人侯南秋无视国家法律，违反国家规定，结伙以单位名义将国有资产集体私分给个人，数额较大，作为单位直接负责的主管人员，其行为触犯了《中华人民共和国刑法》第三百九十六条第一款之规定，犯罪事实清楚，证据确实、充分，应当以私分国有资产罪追究其刑事责任。被告人</w:t>
      </w:r>
      <w:r>
        <w:rPr>
          <w:rFonts w:hint="eastAsia"/>
          <w:sz w:val="30"/>
          <w:szCs w:val="30"/>
        </w:rPr>
        <w:lastRenderedPageBreak/>
        <w:t>侯南秋犯罪以后自动投案，如实供述自己的罪行，是自首，根据《中华人民共和国刑法》第六十七条第一款之规定，可以从轻或者减轻处罚。请法院依法判处。</w:t>
      </w:r>
    </w:p>
    <w:p w14:paraId="22EBAFB3" w14:textId="77777777" w:rsidR="008F141F" w:rsidRDefault="008F141F">
      <w:pPr>
        <w:spacing w:line="500" w:lineRule="atLeast"/>
        <w:ind w:firstLine="600"/>
        <w:divId w:val="1050035483"/>
        <w:rPr>
          <w:rFonts w:hint="eastAsia"/>
          <w:sz w:val="30"/>
          <w:szCs w:val="30"/>
        </w:rPr>
      </w:pPr>
      <w:r>
        <w:rPr>
          <w:rFonts w:hint="eastAsia"/>
          <w:sz w:val="30"/>
          <w:szCs w:val="30"/>
        </w:rPr>
        <w:t>被告人侯南秋对公诉机关指控的犯罪事实没有意见，请求从轻处罚。</w:t>
      </w:r>
    </w:p>
    <w:p w14:paraId="46C02677" w14:textId="77777777" w:rsidR="008F141F" w:rsidRDefault="008F141F">
      <w:pPr>
        <w:spacing w:line="500" w:lineRule="atLeast"/>
        <w:ind w:firstLine="600"/>
        <w:divId w:val="688067182"/>
        <w:rPr>
          <w:rFonts w:hint="eastAsia"/>
          <w:sz w:val="30"/>
          <w:szCs w:val="30"/>
        </w:rPr>
      </w:pPr>
      <w:r>
        <w:rPr>
          <w:rFonts w:hint="eastAsia"/>
          <w:sz w:val="30"/>
          <w:szCs w:val="30"/>
        </w:rPr>
        <w:t>被告人侯南秋的指定辩护人提出以下辩护意见：</w:t>
      </w:r>
      <w:r>
        <w:rPr>
          <w:rFonts w:hint="eastAsia"/>
          <w:sz w:val="30"/>
          <w:szCs w:val="30"/>
        </w:rPr>
        <w:t>1</w:t>
      </w:r>
      <w:r>
        <w:rPr>
          <w:rFonts w:hint="eastAsia"/>
          <w:sz w:val="30"/>
          <w:szCs w:val="30"/>
        </w:rPr>
        <w:t>、被告人在本案中起次要和辅助的作用；</w:t>
      </w:r>
      <w:r>
        <w:rPr>
          <w:rFonts w:hint="eastAsia"/>
          <w:sz w:val="30"/>
          <w:szCs w:val="30"/>
        </w:rPr>
        <w:t>2</w:t>
      </w:r>
      <w:r>
        <w:rPr>
          <w:rFonts w:hint="eastAsia"/>
          <w:sz w:val="30"/>
          <w:szCs w:val="30"/>
        </w:rPr>
        <w:t>、被告人属于自首；</w:t>
      </w:r>
      <w:r>
        <w:rPr>
          <w:rFonts w:hint="eastAsia"/>
          <w:sz w:val="30"/>
          <w:szCs w:val="30"/>
        </w:rPr>
        <w:t>3</w:t>
      </w:r>
      <w:r>
        <w:rPr>
          <w:rFonts w:hint="eastAsia"/>
          <w:sz w:val="30"/>
          <w:szCs w:val="30"/>
        </w:rPr>
        <w:t>、被告人系初犯，主观恶性小，悔过态度好；</w:t>
      </w:r>
      <w:r>
        <w:rPr>
          <w:rFonts w:hint="eastAsia"/>
          <w:sz w:val="30"/>
          <w:szCs w:val="30"/>
        </w:rPr>
        <w:t>4</w:t>
      </w:r>
      <w:r>
        <w:rPr>
          <w:rFonts w:hint="eastAsia"/>
          <w:sz w:val="30"/>
          <w:szCs w:val="30"/>
        </w:rPr>
        <w:t>、被告人的犯罪情节轻微，具有多项法定或酌定的从轻、减轻或免除处罚的情节，应对被告人免除处罚。如不能免于处罚，其符合适用缓刑的法定条件，建议合议庭宽大处理。</w:t>
      </w:r>
    </w:p>
    <w:p w14:paraId="54908529" w14:textId="77777777" w:rsidR="008F141F" w:rsidRDefault="008F141F">
      <w:pPr>
        <w:spacing w:line="500" w:lineRule="atLeast"/>
        <w:ind w:firstLine="600"/>
        <w:divId w:val="530261240"/>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侯南秋时任迎宾馆副总经理期间，伙同同案人洪某、冯某、朱某（均另案处理）等其他班子成员，集体讨论决定以虚开发票、虚列成本等方式套取迎宾馆资金，并将套取的账外资金先后多次以现金和消费卡的形式私分给个人，共计人民币</w:t>
      </w:r>
      <w:r>
        <w:rPr>
          <w:rFonts w:hint="eastAsia"/>
          <w:sz w:val="30"/>
          <w:szCs w:val="30"/>
        </w:rPr>
        <w:t>1854307.83</w:t>
      </w:r>
      <w:r>
        <w:rPr>
          <w:rFonts w:hint="eastAsia"/>
          <w:sz w:val="30"/>
          <w:szCs w:val="30"/>
        </w:rPr>
        <w:t>元。其中被告人侯南秋个人分得账外薪酬及消费卡资金共计人民币</w:t>
      </w:r>
      <w:r>
        <w:rPr>
          <w:rFonts w:hint="eastAsia"/>
          <w:sz w:val="30"/>
          <w:szCs w:val="30"/>
        </w:rPr>
        <w:t>149658</w:t>
      </w:r>
      <w:r>
        <w:rPr>
          <w:rFonts w:hint="eastAsia"/>
          <w:sz w:val="30"/>
          <w:szCs w:val="30"/>
        </w:rPr>
        <w:t>元。</w:t>
      </w:r>
    </w:p>
    <w:p w14:paraId="47515F3E" w14:textId="77777777" w:rsidR="008F141F" w:rsidRDefault="008F141F">
      <w:pPr>
        <w:spacing w:line="500" w:lineRule="atLeast"/>
        <w:ind w:firstLine="600"/>
        <w:divId w:val="1111971266"/>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日，被告人侯南秋到广州市荔湾区人民检察院投案，如实供述自己的犯罪行为。案发后，被告人侯南秋退出赃款共</w:t>
      </w:r>
      <w:r>
        <w:rPr>
          <w:rFonts w:hint="eastAsia"/>
          <w:sz w:val="30"/>
          <w:szCs w:val="30"/>
        </w:rPr>
        <w:t>149658</w:t>
      </w:r>
      <w:r>
        <w:rPr>
          <w:rFonts w:hint="eastAsia"/>
          <w:sz w:val="30"/>
          <w:szCs w:val="30"/>
        </w:rPr>
        <w:t>元（其中</w:t>
      </w:r>
      <w:r>
        <w:rPr>
          <w:rFonts w:hint="eastAsia"/>
          <w:sz w:val="30"/>
          <w:szCs w:val="30"/>
        </w:rPr>
        <w:t>69658</w:t>
      </w:r>
      <w:r>
        <w:rPr>
          <w:rFonts w:hint="eastAsia"/>
          <w:sz w:val="30"/>
          <w:szCs w:val="30"/>
        </w:rPr>
        <w:t>元暂存于本院、</w:t>
      </w:r>
      <w:r>
        <w:rPr>
          <w:rFonts w:hint="eastAsia"/>
          <w:sz w:val="30"/>
          <w:szCs w:val="30"/>
        </w:rPr>
        <w:t>80000</w:t>
      </w:r>
      <w:r>
        <w:rPr>
          <w:rFonts w:hint="eastAsia"/>
          <w:sz w:val="30"/>
          <w:szCs w:val="30"/>
        </w:rPr>
        <w:t>元暂存于广州市荔湾区人民检察院）。</w:t>
      </w:r>
    </w:p>
    <w:p w14:paraId="17BFB633" w14:textId="77777777" w:rsidR="008F141F" w:rsidRDefault="008F141F">
      <w:pPr>
        <w:spacing w:line="500" w:lineRule="atLeast"/>
        <w:ind w:firstLine="600"/>
        <w:divId w:val="268516292"/>
        <w:rPr>
          <w:rFonts w:hint="eastAsia"/>
          <w:sz w:val="30"/>
          <w:szCs w:val="30"/>
        </w:rPr>
      </w:pPr>
      <w:r>
        <w:rPr>
          <w:rFonts w:hint="eastAsia"/>
          <w:sz w:val="30"/>
          <w:szCs w:val="30"/>
        </w:rPr>
        <w:t>上述事实，有公诉机关当庭举证，经法庭质证查证属实并予以采纳的下列证据证实：立案决定书，破案经过，广东迎宾馆出具的履历登记表、营业执照、聘任通知、分工情况，省政府政务接待宾馆高级管理人员年薪制试行办法，广东迎宾馆的自查整改情况报告，被告人侯南秋的常住人口信息查询资料，暂扣收据，同案人洪某、朱某、冯某的供述，证人邓某</w:t>
      </w:r>
      <w:r>
        <w:rPr>
          <w:rFonts w:hint="eastAsia"/>
          <w:sz w:val="30"/>
          <w:szCs w:val="30"/>
        </w:rPr>
        <w:t>1</w:t>
      </w:r>
      <w:r>
        <w:rPr>
          <w:rFonts w:hint="eastAsia"/>
          <w:sz w:val="30"/>
          <w:szCs w:val="30"/>
        </w:rPr>
        <w:t>、姚某、骆某</w:t>
      </w:r>
      <w:r>
        <w:rPr>
          <w:rFonts w:hint="eastAsia"/>
          <w:sz w:val="30"/>
          <w:szCs w:val="30"/>
        </w:rPr>
        <w:t>1</w:t>
      </w:r>
      <w:r>
        <w:rPr>
          <w:rFonts w:hint="eastAsia"/>
          <w:sz w:val="30"/>
          <w:szCs w:val="30"/>
        </w:rPr>
        <w:t>、宋某</w:t>
      </w:r>
      <w:r>
        <w:rPr>
          <w:rFonts w:hint="eastAsia"/>
          <w:sz w:val="30"/>
          <w:szCs w:val="30"/>
        </w:rPr>
        <w:t>1</w:t>
      </w:r>
      <w:r>
        <w:rPr>
          <w:rFonts w:hint="eastAsia"/>
          <w:sz w:val="30"/>
          <w:szCs w:val="30"/>
        </w:rPr>
        <w:t>、彭某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的证言，司法会计鉴定报告，被告人侯南秋的供述及其户籍资料等证据。</w:t>
      </w:r>
    </w:p>
    <w:p w14:paraId="30BD92DA" w14:textId="77777777" w:rsidR="008F141F" w:rsidRDefault="008F141F">
      <w:pPr>
        <w:spacing w:line="500" w:lineRule="atLeast"/>
        <w:ind w:firstLine="600"/>
        <w:divId w:val="1625035907"/>
        <w:rPr>
          <w:rFonts w:hint="eastAsia"/>
          <w:sz w:val="30"/>
          <w:szCs w:val="30"/>
        </w:rPr>
      </w:pPr>
      <w:r>
        <w:rPr>
          <w:rFonts w:hint="eastAsia"/>
          <w:sz w:val="30"/>
          <w:szCs w:val="30"/>
        </w:rPr>
        <w:t>上述事实清楚，证据确实充分，足以认定。</w:t>
      </w:r>
    </w:p>
    <w:p w14:paraId="73B7843E" w14:textId="77777777" w:rsidR="008F141F" w:rsidRDefault="008F141F">
      <w:pPr>
        <w:spacing w:line="500" w:lineRule="atLeast"/>
        <w:ind w:firstLine="600"/>
        <w:divId w:val="1847934962"/>
        <w:rPr>
          <w:rFonts w:hint="eastAsia"/>
          <w:sz w:val="30"/>
          <w:szCs w:val="30"/>
        </w:rPr>
      </w:pPr>
      <w:r>
        <w:rPr>
          <w:rFonts w:hint="eastAsia"/>
          <w:sz w:val="30"/>
          <w:szCs w:val="30"/>
        </w:rPr>
        <w:t>本院认为，被告人侯南秋无视国家法律，违反国家规定，结伙以单位名义将国有资产集体私分给个人，数额较大，被告人侯南秋作为单位直接负责的主管人员，构成私分国有资产罪，应依法予以惩处。公诉机关指控被告人侯南秋犯私分国有资产罪的事实清楚，证据确实充分，罪名成立，适用法律正确，本院予以支持。被告人侯南秋犯罪后自动投案，如实供述自己的罪行，是自首，依法可以从轻处罚。被告人侯南秋犯罪后能够退出全部赃款，可以酌情从轻处罚。辩护人提出的被告人自首，建议对其从轻处罚并适用缓刑的辩护意见有理，本院予以采纳。被告人作为单位的班子成员，直接参与单位重大事项的讨论决定，对涉案事项不持反对意见，其在共同犯罪中并非起次要辅助作用，故辩护人提出的被告人在本案中起次要和辅助的作用的辩护意见的理由不成立，本院不予采纳。综合本案事实、性质、情节，依法对被告人侯南秋从轻处罚并适用缓刑。依照《中华人民共和国刑法》第三百九十六条第一款、第五十二条、第五十三条、第六十七条第一款、第七十二条第一款和第三款、第七十三条第二款和第三款、第六十四条之规定，判决如下：</w:t>
      </w:r>
    </w:p>
    <w:p w14:paraId="62593090" w14:textId="77777777" w:rsidR="008F141F" w:rsidRDefault="008F141F">
      <w:pPr>
        <w:spacing w:line="500" w:lineRule="atLeast"/>
        <w:ind w:firstLine="600"/>
        <w:divId w:val="852915437"/>
        <w:rPr>
          <w:rFonts w:hint="eastAsia"/>
          <w:sz w:val="30"/>
          <w:szCs w:val="30"/>
        </w:rPr>
      </w:pPr>
      <w:r>
        <w:rPr>
          <w:rFonts w:hint="eastAsia"/>
          <w:sz w:val="30"/>
          <w:szCs w:val="30"/>
        </w:rPr>
        <w:t>一、被告人侯南秋犯私分国有资产罪，判处有期徒刑十个月，缓刑一年，并处罚金一万元。</w:t>
      </w:r>
    </w:p>
    <w:p w14:paraId="12A8EFD6" w14:textId="77777777" w:rsidR="008F141F" w:rsidRDefault="008F141F">
      <w:pPr>
        <w:spacing w:line="500" w:lineRule="atLeast"/>
        <w:ind w:firstLine="600"/>
        <w:divId w:val="1472096250"/>
        <w:rPr>
          <w:rFonts w:hint="eastAsia"/>
          <w:sz w:val="30"/>
          <w:szCs w:val="30"/>
        </w:rPr>
      </w:pPr>
      <w:r>
        <w:rPr>
          <w:rFonts w:hint="eastAsia"/>
          <w:sz w:val="30"/>
          <w:szCs w:val="30"/>
        </w:rPr>
        <w:t>（缓刑考验期限自判决确定之日起计算。罚金自本判决发生法律效力第二日起十日内一次性向本院缴纳，上缴国库。）</w:t>
      </w:r>
    </w:p>
    <w:p w14:paraId="7605B151" w14:textId="77777777" w:rsidR="008F141F" w:rsidRDefault="008F141F">
      <w:pPr>
        <w:spacing w:line="500" w:lineRule="atLeast"/>
        <w:ind w:firstLine="600"/>
        <w:divId w:val="2002149661"/>
        <w:rPr>
          <w:rFonts w:hint="eastAsia"/>
          <w:sz w:val="30"/>
          <w:szCs w:val="30"/>
        </w:rPr>
      </w:pPr>
      <w:r>
        <w:rPr>
          <w:rFonts w:hint="eastAsia"/>
          <w:sz w:val="30"/>
          <w:szCs w:val="30"/>
        </w:rPr>
        <w:t>二、被告人侯南秋退出的赃款</w:t>
      </w:r>
      <w:r>
        <w:rPr>
          <w:rFonts w:hint="eastAsia"/>
          <w:sz w:val="30"/>
          <w:szCs w:val="30"/>
        </w:rPr>
        <w:t>149658</w:t>
      </w:r>
      <w:r>
        <w:rPr>
          <w:rFonts w:hint="eastAsia"/>
          <w:sz w:val="30"/>
          <w:szCs w:val="30"/>
        </w:rPr>
        <w:t>元发还给广东迎宾馆（其中</w:t>
      </w:r>
      <w:r>
        <w:rPr>
          <w:rFonts w:hint="eastAsia"/>
          <w:sz w:val="30"/>
          <w:szCs w:val="30"/>
        </w:rPr>
        <w:t>69658</w:t>
      </w:r>
      <w:r>
        <w:rPr>
          <w:rFonts w:hint="eastAsia"/>
          <w:sz w:val="30"/>
          <w:szCs w:val="30"/>
        </w:rPr>
        <w:t>元由本院执行、</w:t>
      </w:r>
      <w:r>
        <w:rPr>
          <w:rFonts w:hint="eastAsia"/>
          <w:sz w:val="30"/>
          <w:szCs w:val="30"/>
        </w:rPr>
        <w:t>80000</w:t>
      </w:r>
      <w:r>
        <w:rPr>
          <w:rFonts w:hint="eastAsia"/>
          <w:sz w:val="30"/>
          <w:szCs w:val="30"/>
        </w:rPr>
        <w:t>元由广州市荔湾区人民检察院执行）。</w:t>
      </w:r>
    </w:p>
    <w:p w14:paraId="537062B1" w14:textId="77777777" w:rsidR="008F141F" w:rsidRDefault="008F141F">
      <w:pPr>
        <w:spacing w:line="500" w:lineRule="atLeast"/>
        <w:ind w:firstLine="600"/>
        <w:divId w:val="77116427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986FA4B" w14:textId="77777777" w:rsidR="008F141F" w:rsidRDefault="008F141F">
      <w:pPr>
        <w:spacing w:line="500" w:lineRule="atLeast"/>
        <w:jc w:val="right"/>
        <w:divId w:val="840856342"/>
        <w:rPr>
          <w:rFonts w:hint="eastAsia"/>
          <w:sz w:val="30"/>
          <w:szCs w:val="30"/>
        </w:rPr>
      </w:pPr>
      <w:r>
        <w:rPr>
          <w:rFonts w:hint="eastAsia"/>
          <w:sz w:val="30"/>
          <w:szCs w:val="30"/>
        </w:rPr>
        <w:t>审　判　长　　何文仪</w:t>
      </w:r>
    </w:p>
    <w:p w14:paraId="6A3CC87D" w14:textId="77777777" w:rsidR="008F141F" w:rsidRDefault="008F141F">
      <w:pPr>
        <w:spacing w:line="500" w:lineRule="atLeast"/>
        <w:jc w:val="right"/>
        <w:divId w:val="911698465"/>
        <w:rPr>
          <w:rFonts w:hint="eastAsia"/>
          <w:sz w:val="30"/>
          <w:szCs w:val="30"/>
        </w:rPr>
      </w:pPr>
      <w:r>
        <w:rPr>
          <w:rFonts w:hint="eastAsia"/>
          <w:sz w:val="30"/>
          <w:szCs w:val="30"/>
        </w:rPr>
        <w:t>人民陪审员　　冯志强</w:t>
      </w:r>
    </w:p>
    <w:p w14:paraId="38E45AEC" w14:textId="77777777" w:rsidR="008F141F" w:rsidRDefault="008F141F">
      <w:pPr>
        <w:spacing w:line="500" w:lineRule="atLeast"/>
        <w:jc w:val="right"/>
        <w:divId w:val="460271064"/>
        <w:rPr>
          <w:rFonts w:hint="eastAsia"/>
          <w:sz w:val="30"/>
          <w:szCs w:val="30"/>
        </w:rPr>
      </w:pPr>
      <w:r>
        <w:rPr>
          <w:rFonts w:hint="eastAsia"/>
          <w:sz w:val="30"/>
          <w:szCs w:val="30"/>
        </w:rPr>
        <w:t>人民陪审员　　邓少敏</w:t>
      </w:r>
    </w:p>
    <w:p w14:paraId="2B80DEB6" w14:textId="77777777" w:rsidR="008F141F" w:rsidRDefault="008F141F">
      <w:pPr>
        <w:spacing w:line="500" w:lineRule="atLeast"/>
        <w:jc w:val="right"/>
        <w:divId w:val="1480263765"/>
        <w:rPr>
          <w:rFonts w:hint="eastAsia"/>
          <w:sz w:val="30"/>
          <w:szCs w:val="30"/>
        </w:rPr>
      </w:pPr>
      <w:r>
        <w:rPr>
          <w:rFonts w:hint="eastAsia"/>
          <w:sz w:val="30"/>
          <w:szCs w:val="30"/>
        </w:rPr>
        <w:t>二〇一七年十二月二十五日</w:t>
      </w:r>
    </w:p>
    <w:p w14:paraId="09ECB0D4" w14:textId="77777777" w:rsidR="008F141F" w:rsidRDefault="008F141F">
      <w:pPr>
        <w:spacing w:line="500" w:lineRule="atLeast"/>
        <w:jc w:val="right"/>
        <w:divId w:val="583345307"/>
        <w:rPr>
          <w:rFonts w:hint="eastAsia"/>
          <w:sz w:val="30"/>
          <w:szCs w:val="30"/>
        </w:rPr>
      </w:pPr>
      <w:r>
        <w:rPr>
          <w:rFonts w:hint="eastAsia"/>
          <w:sz w:val="30"/>
          <w:szCs w:val="30"/>
        </w:rPr>
        <w:t>书　记　员　　罗燕娜</w:t>
      </w:r>
    </w:p>
    <w:p w14:paraId="58487E25" w14:textId="77777777" w:rsidR="008F141F" w:rsidRDefault="008F141F">
      <w:pPr>
        <w:spacing w:line="500" w:lineRule="atLeast"/>
        <w:ind w:firstLine="600"/>
        <w:divId w:val="1383943493"/>
        <w:rPr>
          <w:rFonts w:hint="eastAsia"/>
          <w:sz w:val="30"/>
          <w:szCs w:val="30"/>
        </w:rPr>
      </w:pPr>
      <w:r>
        <w:rPr>
          <w:rFonts w:hint="eastAsia"/>
          <w:sz w:val="30"/>
          <w:szCs w:val="30"/>
        </w:rPr>
        <w:t>陈佩怡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729AB" w14:textId="77777777" w:rsidR="008F141F" w:rsidRDefault="008F141F" w:rsidP="008F141F">
      <w:pPr>
        <w:rPr>
          <w:rFonts w:hint="eastAsia"/>
        </w:rPr>
      </w:pPr>
      <w:r>
        <w:separator/>
      </w:r>
    </w:p>
  </w:endnote>
  <w:endnote w:type="continuationSeparator" w:id="0">
    <w:p w14:paraId="217F26F2" w14:textId="77777777" w:rsidR="008F141F" w:rsidRDefault="008F141F" w:rsidP="008F14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32836" w14:textId="77777777" w:rsidR="008F141F" w:rsidRDefault="008F141F" w:rsidP="008F141F">
      <w:pPr>
        <w:rPr>
          <w:rFonts w:hint="eastAsia"/>
        </w:rPr>
      </w:pPr>
      <w:r>
        <w:separator/>
      </w:r>
    </w:p>
  </w:footnote>
  <w:footnote w:type="continuationSeparator" w:id="0">
    <w:p w14:paraId="6FD530F2" w14:textId="77777777" w:rsidR="008F141F" w:rsidRDefault="008F141F" w:rsidP="008F14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141F"/>
    <w:rsid w:val="002A784C"/>
    <w:rsid w:val="008F14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8D038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141F"/>
    <w:pPr>
      <w:tabs>
        <w:tab w:val="center" w:pos="4153"/>
        <w:tab w:val="right" w:pos="8306"/>
      </w:tabs>
      <w:snapToGrid w:val="0"/>
      <w:jc w:val="center"/>
    </w:pPr>
    <w:rPr>
      <w:sz w:val="18"/>
      <w:szCs w:val="18"/>
    </w:rPr>
  </w:style>
  <w:style w:type="character" w:customStyle="1" w:styleId="a4">
    <w:name w:val="页眉 字符"/>
    <w:basedOn w:val="a0"/>
    <w:link w:val="a3"/>
    <w:uiPriority w:val="99"/>
    <w:rsid w:val="008F141F"/>
    <w:rPr>
      <w:rFonts w:ascii="宋体" w:eastAsia="宋体" w:hAnsi="宋体" w:cs="宋体"/>
      <w:sz w:val="18"/>
      <w:szCs w:val="18"/>
    </w:rPr>
  </w:style>
  <w:style w:type="paragraph" w:styleId="a5">
    <w:name w:val="footer"/>
    <w:basedOn w:val="a"/>
    <w:link w:val="a6"/>
    <w:uiPriority w:val="99"/>
    <w:unhideWhenUsed/>
    <w:rsid w:val="008F141F"/>
    <w:pPr>
      <w:tabs>
        <w:tab w:val="center" w:pos="4153"/>
        <w:tab w:val="right" w:pos="8306"/>
      </w:tabs>
      <w:snapToGrid w:val="0"/>
    </w:pPr>
    <w:rPr>
      <w:sz w:val="18"/>
      <w:szCs w:val="18"/>
    </w:rPr>
  </w:style>
  <w:style w:type="character" w:customStyle="1" w:styleId="a6">
    <w:name w:val="页脚 字符"/>
    <w:basedOn w:val="a0"/>
    <w:link w:val="a5"/>
    <w:uiPriority w:val="99"/>
    <w:rsid w:val="008F14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754960">
      <w:marLeft w:val="0"/>
      <w:marRight w:val="0"/>
      <w:marTop w:val="10"/>
      <w:marBottom w:val="10"/>
      <w:divBdr>
        <w:top w:val="none" w:sz="0" w:space="0" w:color="auto"/>
        <w:left w:val="none" w:sz="0" w:space="0" w:color="auto"/>
        <w:bottom w:val="none" w:sz="0" w:space="0" w:color="auto"/>
        <w:right w:val="none" w:sz="0" w:space="0" w:color="auto"/>
      </w:divBdr>
    </w:div>
    <w:div w:id="268516292">
      <w:marLeft w:val="0"/>
      <w:marRight w:val="0"/>
      <w:marTop w:val="10"/>
      <w:marBottom w:val="10"/>
      <w:divBdr>
        <w:top w:val="none" w:sz="0" w:space="0" w:color="auto"/>
        <w:left w:val="none" w:sz="0" w:space="0" w:color="auto"/>
        <w:bottom w:val="none" w:sz="0" w:space="0" w:color="auto"/>
        <w:right w:val="none" w:sz="0" w:space="0" w:color="auto"/>
      </w:divBdr>
    </w:div>
    <w:div w:id="420151806">
      <w:marLeft w:val="0"/>
      <w:marRight w:val="0"/>
      <w:marTop w:val="10"/>
      <w:marBottom w:val="10"/>
      <w:divBdr>
        <w:top w:val="none" w:sz="0" w:space="0" w:color="auto"/>
        <w:left w:val="none" w:sz="0" w:space="0" w:color="auto"/>
        <w:bottom w:val="none" w:sz="0" w:space="0" w:color="auto"/>
        <w:right w:val="none" w:sz="0" w:space="0" w:color="auto"/>
      </w:divBdr>
    </w:div>
    <w:div w:id="460271064">
      <w:marLeft w:val="0"/>
      <w:marRight w:val="720"/>
      <w:marTop w:val="10"/>
      <w:marBottom w:val="10"/>
      <w:divBdr>
        <w:top w:val="none" w:sz="0" w:space="0" w:color="auto"/>
        <w:left w:val="none" w:sz="0" w:space="0" w:color="auto"/>
        <w:bottom w:val="none" w:sz="0" w:space="0" w:color="auto"/>
        <w:right w:val="none" w:sz="0" w:space="0" w:color="auto"/>
      </w:divBdr>
    </w:div>
    <w:div w:id="530261240">
      <w:marLeft w:val="0"/>
      <w:marRight w:val="0"/>
      <w:marTop w:val="10"/>
      <w:marBottom w:val="10"/>
      <w:divBdr>
        <w:top w:val="none" w:sz="0" w:space="0" w:color="auto"/>
        <w:left w:val="none" w:sz="0" w:space="0" w:color="auto"/>
        <w:bottom w:val="none" w:sz="0" w:space="0" w:color="auto"/>
        <w:right w:val="none" w:sz="0" w:space="0" w:color="auto"/>
      </w:divBdr>
    </w:div>
    <w:div w:id="583345307">
      <w:marLeft w:val="0"/>
      <w:marRight w:val="720"/>
      <w:marTop w:val="10"/>
      <w:marBottom w:val="10"/>
      <w:divBdr>
        <w:top w:val="none" w:sz="0" w:space="0" w:color="auto"/>
        <w:left w:val="none" w:sz="0" w:space="0" w:color="auto"/>
        <w:bottom w:val="none" w:sz="0" w:space="0" w:color="auto"/>
        <w:right w:val="none" w:sz="0" w:space="0" w:color="auto"/>
      </w:divBdr>
    </w:div>
    <w:div w:id="688067182">
      <w:marLeft w:val="0"/>
      <w:marRight w:val="0"/>
      <w:marTop w:val="10"/>
      <w:marBottom w:val="10"/>
      <w:divBdr>
        <w:top w:val="none" w:sz="0" w:space="0" w:color="auto"/>
        <w:left w:val="none" w:sz="0" w:space="0" w:color="auto"/>
        <w:bottom w:val="none" w:sz="0" w:space="0" w:color="auto"/>
        <w:right w:val="none" w:sz="0" w:space="0" w:color="auto"/>
      </w:divBdr>
    </w:div>
    <w:div w:id="771164278">
      <w:marLeft w:val="0"/>
      <w:marRight w:val="0"/>
      <w:marTop w:val="10"/>
      <w:marBottom w:val="10"/>
      <w:divBdr>
        <w:top w:val="none" w:sz="0" w:space="0" w:color="auto"/>
        <w:left w:val="none" w:sz="0" w:space="0" w:color="auto"/>
        <w:bottom w:val="none" w:sz="0" w:space="0" w:color="auto"/>
        <w:right w:val="none" w:sz="0" w:space="0" w:color="auto"/>
      </w:divBdr>
    </w:div>
    <w:div w:id="840856342">
      <w:marLeft w:val="0"/>
      <w:marRight w:val="720"/>
      <w:marTop w:val="10"/>
      <w:marBottom w:val="10"/>
      <w:divBdr>
        <w:top w:val="none" w:sz="0" w:space="0" w:color="auto"/>
        <w:left w:val="none" w:sz="0" w:space="0" w:color="auto"/>
        <w:bottom w:val="none" w:sz="0" w:space="0" w:color="auto"/>
        <w:right w:val="none" w:sz="0" w:space="0" w:color="auto"/>
      </w:divBdr>
    </w:div>
    <w:div w:id="852915437">
      <w:marLeft w:val="0"/>
      <w:marRight w:val="0"/>
      <w:marTop w:val="10"/>
      <w:marBottom w:val="10"/>
      <w:divBdr>
        <w:top w:val="none" w:sz="0" w:space="0" w:color="auto"/>
        <w:left w:val="none" w:sz="0" w:space="0" w:color="auto"/>
        <w:bottom w:val="none" w:sz="0" w:space="0" w:color="auto"/>
        <w:right w:val="none" w:sz="0" w:space="0" w:color="auto"/>
      </w:divBdr>
    </w:div>
    <w:div w:id="911698465">
      <w:marLeft w:val="0"/>
      <w:marRight w:val="720"/>
      <w:marTop w:val="10"/>
      <w:marBottom w:val="10"/>
      <w:divBdr>
        <w:top w:val="none" w:sz="0" w:space="0" w:color="auto"/>
        <w:left w:val="none" w:sz="0" w:space="0" w:color="auto"/>
        <w:bottom w:val="none" w:sz="0" w:space="0" w:color="auto"/>
        <w:right w:val="none" w:sz="0" w:space="0" w:color="auto"/>
      </w:divBdr>
    </w:div>
    <w:div w:id="1046485150">
      <w:marLeft w:val="0"/>
      <w:marRight w:val="0"/>
      <w:marTop w:val="10"/>
      <w:marBottom w:val="10"/>
      <w:divBdr>
        <w:top w:val="none" w:sz="0" w:space="0" w:color="auto"/>
        <w:left w:val="none" w:sz="0" w:space="0" w:color="auto"/>
        <w:bottom w:val="none" w:sz="0" w:space="0" w:color="auto"/>
        <w:right w:val="none" w:sz="0" w:space="0" w:color="auto"/>
      </w:divBdr>
    </w:div>
    <w:div w:id="1050035483">
      <w:marLeft w:val="0"/>
      <w:marRight w:val="0"/>
      <w:marTop w:val="10"/>
      <w:marBottom w:val="10"/>
      <w:divBdr>
        <w:top w:val="none" w:sz="0" w:space="0" w:color="auto"/>
        <w:left w:val="none" w:sz="0" w:space="0" w:color="auto"/>
        <w:bottom w:val="none" w:sz="0" w:space="0" w:color="auto"/>
        <w:right w:val="none" w:sz="0" w:space="0" w:color="auto"/>
      </w:divBdr>
    </w:div>
    <w:div w:id="1111971266">
      <w:marLeft w:val="0"/>
      <w:marRight w:val="0"/>
      <w:marTop w:val="10"/>
      <w:marBottom w:val="10"/>
      <w:divBdr>
        <w:top w:val="none" w:sz="0" w:space="0" w:color="auto"/>
        <w:left w:val="none" w:sz="0" w:space="0" w:color="auto"/>
        <w:bottom w:val="none" w:sz="0" w:space="0" w:color="auto"/>
        <w:right w:val="none" w:sz="0" w:space="0" w:color="auto"/>
      </w:divBdr>
    </w:div>
    <w:div w:id="1383943493">
      <w:marLeft w:val="0"/>
      <w:marRight w:val="0"/>
      <w:marTop w:val="10"/>
      <w:marBottom w:val="10"/>
      <w:divBdr>
        <w:top w:val="none" w:sz="0" w:space="0" w:color="auto"/>
        <w:left w:val="none" w:sz="0" w:space="0" w:color="auto"/>
        <w:bottom w:val="none" w:sz="0" w:space="0" w:color="auto"/>
        <w:right w:val="none" w:sz="0" w:space="0" w:color="auto"/>
      </w:divBdr>
    </w:div>
    <w:div w:id="1472096250">
      <w:marLeft w:val="0"/>
      <w:marRight w:val="0"/>
      <w:marTop w:val="10"/>
      <w:marBottom w:val="10"/>
      <w:divBdr>
        <w:top w:val="none" w:sz="0" w:space="0" w:color="auto"/>
        <w:left w:val="none" w:sz="0" w:space="0" w:color="auto"/>
        <w:bottom w:val="none" w:sz="0" w:space="0" w:color="auto"/>
        <w:right w:val="none" w:sz="0" w:space="0" w:color="auto"/>
      </w:divBdr>
    </w:div>
    <w:div w:id="1480263765">
      <w:marLeft w:val="0"/>
      <w:marRight w:val="720"/>
      <w:marTop w:val="10"/>
      <w:marBottom w:val="10"/>
      <w:divBdr>
        <w:top w:val="none" w:sz="0" w:space="0" w:color="auto"/>
        <w:left w:val="none" w:sz="0" w:space="0" w:color="auto"/>
        <w:bottom w:val="none" w:sz="0" w:space="0" w:color="auto"/>
        <w:right w:val="none" w:sz="0" w:space="0" w:color="auto"/>
      </w:divBdr>
    </w:div>
    <w:div w:id="1625035907">
      <w:marLeft w:val="0"/>
      <w:marRight w:val="0"/>
      <w:marTop w:val="10"/>
      <w:marBottom w:val="10"/>
      <w:divBdr>
        <w:top w:val="none" w:sz="0" w:space="0" w:color="auto"/>
        <w:left w:val="none" w:sz="0" w:space="0" w:color="auto"/>
        <w:bottom w:val="none" w:sz="0" w:space="0" w:color="auto"/>
        <w:right w:val="none" w:sz="0" w:space="0" w:color="auto"/>
      </w:divBdr>
    </w:div>
    <w:div w:id="1841500515">
      <w:marLeft w:val="0"/>
      <w:marRight w:val="0"/>
      <w:marTop w:val="10"/>
      <w:marBottom w:val="10"/>
      <w:divBdr>
        <w:top w:val="none" w:sz="0" w:space="0" w:color="auto"/>
        <w:left w:val="none" w:sz="0" w:space="0" w:color="auto"/>
        <w:bottom w:val="none" w:sz="0" w:space="0" w:color="auto"/>
        <w:right w:val="none" w:sz="0" w:space="0" w:color="auto"/>
      </w:divBdr>
    </w:div>
    <w:div w:id="1847934962">
      <w:marLeft w:val="0"/>
      <w:marRight w:val="0"/>
      <w:marTop w:val="10"/>
      <w:marBottom w:val="10"/>
      <w:divBdr>
        <w:top w:val="none" w:sz="0" w:space="0" w:color="auto"/>
        <w:left w:val="none" w:sz="0" w:space="0" w:color="auto"/>
        <w:bottom w:val="none" w:sz="0" w:space="0" w:color="auto"/>
        <w:right w:val="none" w:sz="0" w:space="0" w:color="auto"/>
      </w:divBdr>
    </w:div>
    <w:div w:id="1944877438">
      <w:marLeft w:val="0"/>
      <w:marRight w:val="0"/>
      <w:marTop w:val="10"/>
      <w:marBottom w:val="10"/>
      <w:divBdr>
        <w:top w:val="none" w:sz="0" w:space="0" w:color="auto"/>
        <w:left w:val="none" w:sz="0" w:space="0" w:color="auto"/>
        <w:bottom w:val="none" w:sz="0" w:space="0" w:color="auto"/>
        <w:right w:val="none" w:sz="0" w:space="0" w:color="auto"/>
      </w:divBdr>
    </w:div>
    <w:div w:id="2002149661">
      <w:marLeft w:val="0"/>
      <w:marRight w:val="0"/>
      <w:marTop w:val="10"/>
      <w:marBottom w:val="10"/>
      <w:divBdr>
        <w:top w:val="none" w:sz="0" w:space="0" w:color="auto"/>
        <w:left w:val="none" w:sz="0" w:space="0" w:color="auto"/>
        <w:bottom w:val="none" w:sz="0" w:space="0" w:color="auto"/>
        <w:right w:val="none" w:sz="0" w:space="0" w:color="auto"/>
      </w:divBdr>
    </w:div>
    <w:div w:id="2025011189">
      <w:marLeft w:val="0"/>
      <w:marRight w:val="0"/>
      <w:marTop w:val="10"/>
      <w:marBottom w:val="10"/>
      <w:divBdr>
        <w:top w:val="none" w:sz="0" w:space="0" w:color="auto"/>
        <w:left w:val="none" w:sz="0" w:space="0" w:color="auto"/>
        <w:bottom w:val="none" w:sz="0" w:space="0" w:color="auto"/>
        <w:right w:val="none" w:sz="0" w:space="0" w:color="auto"/>
      </w:divBdr>
    </w:div>
    <w:div w:id="2132477847">
      <w:marLeft w:val="0"/>
      <w:marRight w:val="0"/>
      <w:marTop w:val="10"/>
      <w:marBottom w:val="10"/>
      <w:divBdr>
        <w:top w:val="none" w:sz="0" w:space="0" w:color="auto"/>
        <w:left w:val="none" w:sz="0" w:space="0" w:color="auto"/>
        <w:bottom w:val="none" w:sz="0" w:space="0" w:color="auto"/>
        <w:right w:val="none" w:sz="0" w:space="0" w:color="auto"/>
      </w:divBdr>
    </w:div>
    <w:div w:id="2137140845">
      <w:marLeft w:val="0"/>
      <w:marRight w:val="0"/>
      <w:marTop w:val="10"/>
      <w:marBottom w:val="10"/>
      <w:divBdr>
        <w:top w:val="none" w:sz="0" w:space="0" w:color="auto"/>
        <w:left w:val="none" w:sz="0" w:space="0" w:color="auto"/>
        <w:bottom w:val="none" w:sz="0" w:space="0" w:color="auto"/>
        <w:right w:val="none" w:sz="0" w:space="0" w:color="auto"/>
      </w:divBdr>
    </w:div>
    <w:div w:id="21438440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