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1ECB" w14:textId="77777777" w:rsidR="00BB038C" w:rsidRDefault="00BB038C">
      <w:pPr>
        <w:spacing w:line="500" w:lineRule="atLeast"/>
        <w:jc w:val="center"/>
        <w:divId w:val="89472748"/>
        <w:rPr>
          <w:rFonts w:ascii="黑体" w:eastAsia="黑体" w:hAnsi="黑体"/>
          <w:sz w:val="36"/>
          <w:szCs w:val="36"/>
        </w:rPr>
      </w:pPr>
      <w:r>
        <w:rPr>
          <w:rFonts w:ascii="黑体" w:eastAsia="黑体" w:hAnsi="黑体" w:hint="eastAsia"/>
          <w:sz w:val="36"/>
          <w:szCs w:val="36"/>
        </w:rPr>
        <w:t>广东省深圳市南山区人民法院</w:t>
      </w:r>
    </w:p>
    <w:p w14:paraId="20EE4716" w14:textId="77777777" w:rsidR="00BB038C" w:rsidRDefault="00BB038C">
      <w:pPr>
        <w:spacing w:line="500" w:lineRule="atLeast"/>
        <w:jc w:val="center"/>
        <w:divId w:val="19235638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29E72A" w14:textId="77777777" w:rsidR="00BB038C" w:rsidRDefault="00BB038C">
      <w:pPr>
        <w:spacing w:line="500" w:lineRule="atLeast"/>
        <w:jc w:val="right"/>
        <w:divId w:val="44138503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480</w:t>
      </w:r>
      <w:r>
        <w:rPr>
          <w:rFonts w:hint="eastAsia"/>
          <w:sz w:val="30"/>
          <w:szCs w:val="30"/>
        </w:rPr>
        <w:t>号</w:t>
      </w:r>
    </w:p>
    <w:p w14:paraId="12961DBD" w14:textId="77777777" w:rsidR="00BB038C" w:rsidRDefault="00BB038C">
      <w:pPr>
        <w:spacing w:line="500" w:lineRule="atLeast"/>
        <w:ind w:firstLine="600"/>
        <w:divId w:val="539242524"/>
        <w:rPr>
          <w:rFonts w:hint="eastAsia"/>
          <w:sz w:val="30"/>
          <w:szCs w:val="30"/>
        </w:rPr>
      </w:pPr>
      <w:r>
        <w:rPr>
          <w:rFonts w:hint="eastAsia"/>
          <w:sz w:val="30"/>
          <w:szCs w:val="30"/>
        </w:rPr>
        <w:t>公诉机关广东省深圳市南山区人民检察院。</w:t>
      </w:r>
    </w:p>
    <w:p w14:paraId="23FF894B" w14:textId="77777777" w:rsidR="00BB038C" w:rsidRDefault="00BB038C">
      <w:pPr>
        <w:spacing w:line="500" w:lineRule="atLeast"/>
        <w:ind w:firstLine="600"/>
        <w:divId w:val="1060909518"/>
        <w:rPr>
          <w:rFonts w:hint="eastAsia"/>
          <w:sz w:val="30"/>
          <w:szCs w:val="30"/>
        </w:rPr>
      </w:pPr>
      <w:r>
        <w:rPr>
          <w:rFonts w:hint="eastAsia"/>
          <w:sz w:val="30"/>
          <w:szCs w:val="30"/>
        </w:rPr>
        <w:t>被告人傅国河，男，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日出生，汉族，高中文化，在深圳市富晋天维信息通讯技术有限公司工作，广东省深圳市人，住深圳市南山区。因本案于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w:t>
      </w:r>
    </w:p>
    <w:p w14:paraId="1D42CD7A" w14:textId="77777777" w:rsidR="00BB038C" w:rsidRDefault="00BB038C">
      <w:pPr>
        <w:spacing w:line="500" w:lineRule="atLeast"/>
        <w:ind w:firstLine="600"/>
        <w:divId w:val="1380788868"/>
        <w:rPr>
          <w:rFonts w:hint="eastAsia"/>
          <w:sz w:val="30"/>
          <w:szCs w:val="30"/>
        </w:rPr>
      </w:pPr>
      <w:r>
        <w:rPr>
          <w:rFonts w:hint="eastAsia"/>
          <w:sz w:val="30"/>
          <w:szCs w:val="30"/>
        </w:rPr>
        <w:t>辩护人纪树雄，北京市德恒（广州）律师所律师。</w:t>
      </w:r>
    </w:p>
    <w:p w14:paraId="26D182E2" w14:textId="77777777" w:rsidR="00BB038C" w:rsidRDefault="00BB038C">
      <w:pPr>
        <w:spacing w:line="500" w:lineRule="atLeast"/>
        <w:ind w:firstLine="600"/>
        <w:divId w:val="831868894"/>
        <w:rPr>
          <w:rFonts w:hint="eastAsia"/>
          <w:sz w:val="30"/>
          <w:szCs w:val="30"/>
        </w:rPr>
      </w:pPr>
      <w:r>
        <w:rPr>
          <w:rFonts w:hint="eastAsia"/>
          <w:sz w:val="30"/>
          <w:szCs w:val="30"/>
        </w:rPr>
        <w:t>辩护人梁赟，广东仁人律师事务所律师。</w:t>
      </w:r>
    </w:p>
    <w:p w14:paraId="4E96EF78" w14:textId="77777777" w:rsidR="00BB038C" w:rsidRDefault="00BB038C">
      <w:pPr>
        <w:spacing w:line="500" w:lineRule="atLeast"/>
        <w:ind w:firstLine="600"/>
        <w:divId w:val="649750551"/>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481</w:t>
      </w:r>
      <w:r>
        <w:rPr>
          <w:rFonts w:hint="eastAsia"/>
          <w:sz w:val="30"/>
          <w:szCs w:val="30"/>
        </w:rPr>
        <w:t>号起诉书指控被告人傅国河犯行贿罪，于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日向本院提起公诉。本院依法组成合议庭，公开开庭审理了本案。深圳市南山区人民检察院指派代理检察员李小敏出庭支持公诉，被告傅国河及其委托辩护人纪树雄到庭参加诉讼。本案现已审理终结。</w:t>
      </w:r>
    </w:p>
    <w:p w14:paraId="0F6DA07E" w14:textId="77777777" w:rsidR="00BB038C" w:rsidRDefault="00BB038C">
      <w:pPr>
        <w:spacing w:line="500" w:lineRule="atLeast"/>
        <w:ind w:firstLine="600"/>
        <w:divId w:val="1605963051"/>
        <w:rPr>
          <w:rFonts w:hint="eastAsia"/>
          <w:sz w:val="30"/>
          <w:szCs w:val="30"/>
        </w:rPr>
      </w:pPr>
      <w:r>
        <w:rPr>
          <w:rFonts w:hint="eastAsia"/>
          <w:sz w:val="30"/>
          <w:szCs w:val="30"/>
        </w:rPr>
        <w:t>经审理查明：被告人傅国河于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日创立了深圳市天维讯电子有限公司（以下简称“天维讯公司”），并担任法定代表人、董事长兼总经理，</w:t>
      </w:r>
      <w:r>
        <w:rPr>
          <w:rFonts w:hint="eastAsia"/>
          <w:sz w:val="30"/>
          <w:szCs w:val="30"/>
        </w:rPr>
        <w:t>2001</w:t>
      </w:r>
      <w:r>
        <w:rPr>
          <w:rFonts w:hint="eastAsia"/>
          <w:sz w:val="30"/>
          <w:szCs w:val="30"/>
        </w:rPr>
        <w:t>年退出公司一切职务后一直为该公司实际控制人。</w:t>
      </w:r>
    </w:p>
    <w:p w14:paraId="7BB2C9B4" w14:textId="77777777" w:rsidR="00BB038C" w:rsidRDefault="00BB038C">
      <w:pPr>
        <w:spacing w:line="500" w:lineRule="atLeast"/>
        <w:ind w:firstLine="600"/>
        <w:divId w:val="1061905431"/>
        <w:rPr>
          <w:rFonts w:hint="eastAsia"/>
          <w:sz w:val="30"/>
          <w:szCs w:val="30"/>
        </w:rPr>
      </w:pPr>
      <w:r>
        <w:rPr>
          <w:rFonts w:hint="eastAsia"/>
          <w:sz w:val="30"/>
          <w:szCs w:val="30"/>
        </w:rPr>
        <w:t>在深圳市南山区政府为建设老年人日间照料中心而购买卓越维港区</w:t>
      </w:r>
      <w:r>
        <w:rPr>
          <w:rFonts w:hint="eastAsia"/>
          <w:sz w:val="30"/>
          <w:szCs w:val="30"/>
        </w:rPr>
        <w:t>9-13</w:t>
      </w:r>
      <w:r>
        <w:rPr>
          <w:rFonts w:hint="eastAsia"/>
          <w:sz w:val="30"/>
          <w:szCs w:val="30"/>
        </w:rPr>
        <w:t>栋裙楼</w:t>
      </w:r>
      <w:r>
        <w:rPr>
          <w:rFonts w:hint="eastAsia"/>
          <w:sz w:val="30"/>
          <w:szCs w:val="30"/>
        </w:rPr>
        <w:t>1-48</w:t>
      </w:r>
      <w:r>
        <w:rPr>
          <w:rFonts w:hint="eastAsia"/>
          <w:sz w:val="30"/>
          <w:szCs w:val="30"/>
        </w:rPr>
        <w:t>号及恒立心海花园</w:t>
      </w:r>
      <w:r>
        <w:rPr>
          <w:rFonts w:hint="eastAsia"/>
          <w:sz w:val="30"/>
          <w:szCs w:val="30"/>
        </w:rPr>
        <w:t>2</w:t>
      </w:r>
      <w:r>
        <w:rPr>
          <w:rFonts w:hint="eastAsia"/>
          <w:sz w:val="30"/>
          <w:szCs w:val="30"/>
        </w:rPr>
        <w:t>栋</w:t>
      </w:r>
      <w:r>
        <w:rPr>
          <w:rFonts w:hint="eastAsia"/>
          <w:sz w:val="30"/>
          <w:szCs w:val="30"/>
        </w:rPr>
        <w:t>124</w:t>
      </w:r>
      <w:r>
        <w:rPr>
          <w:rFonts w:hint="eastAsia"/>
          <w:sz w:val="30"/>
          <w:szCs w:val="30"/>
        </w:rPr>
        <w:t>、</w:t>
      </w:r>
      <w:r>
        <w:rPr>
          <w:rFonts w:hint="eastAsia"/>
          <w:sz w:val="30"/>
          <w:szCs w:val="30"/>
        </w:rPr>
        <w:t>201</w:t>
      </w:r>
      <w:r>
        <w:rPr>
          <w:rFonts w:hint="eastAsia"/>
          <w:sz w:val="30"/>
          <w:szCs w:val="30"/>
        </w:rPr>
        <w:t>号物业的过程中，傅国河为帮助天维讯公司谋取高额差价利益，请托深圳市南山区民政局原局长张某（已判决），南山区物业办产权部原负责人彭某（已判决）等人，在物业房源选定、选择评估公司、调高物业评估价格、加快交易进程等方面提供帮助，促成南山区政府以较高价格购买上述物业。交易过程中，</w:t>
      </w:r>
      <w:r>
        <w:rPr>
          <w:rFonts w:hint="eastAsia"/>
          <w:sz w:val="30"/>
          <w:szCs w:val="30"/>
        </w:rPr>
        <w:lastRenderedPageBreak/>
        <w:t>系以天维讯公司名义签订协议并收取佣金。物业交易完成后，为了感谢张某、彭某二人的帮助，傅国河送给张某好处费</w:t>
      </w:r>
      <w:r>
        <w:rPr>
          <w:rFonts w:hint="eastAsia"/>
          <w:sz w:val="30"/>
          <w:szCs w:val="30"/>
        </w:rPr>
        <w:t>245</w:t>
      </w:r>
      <w:r>
        <w:rPr>
          <w:rFonts w:hint="eastAsia"/>
          <w:sz w:val="30"/>
          <w:szCs w:val="30"/>
        </w:rPr>
        <w:t>万元，通过房产中介人员赵某</w:t>
      </w:r>
      <w:r>
        <w:rPr>
          <w:rFonts w:hint="eastAsia"/>
          <w:sz w:val="30"/>
          <w:szCs w:val="30"/>
        </w:rPr>
        <w:t>1</w:t>
      </w:r>
      <w:r>
        <w:rPr>
          <w:rFonts w:hint="eastAsia"/>
          <w:sz w:val="30"/>
          <w:szCs w:val="30"/>
        </w:rPr>
        <w:t>、孙某送给彭某好处费</w:t>
      </w:r>
      <w:r>
        <w:rPr>
          <w:rFonts w:hint="eastAsia"/>
          <w:sz w:val="30"/>
          <w:szCs w:val="30"/>
        </w:rPr>
        <w:t>150</w:t>
      </w:r>
      <w:r>
        <w:rPr>
          <w:rFonts w:hint="eastAsia"/>
          <w:sz w:val="30"/>
          <w:szCs w:val="30"/>
        </w:rPr>
        <w:t>万元。案发后，缴回傅国河非法所得人民币</w:t>
      </w:r>
      <w:r>
        <w:rPr>
          <w:rFonts w:hint="eastAsia"/>
          <w:sz w:val="30"/>
          <w:szCs w:val="30"/>
        </w:rPr>
        <w:t>5000</w:t>
      </w:r>
      <w:r>
        <w:rPr>
          <w:rFonts w:hint="eastAsia"/>
          <w:sz w:val="30"/>
          <w:szCs w:val="30"/>
        </w:rPr>
        <w:t>万元。</w:t>
      </w:r>
    </w:p>
    <w:p w14:paraId="14F0E69E" w14:textId="77777777" w:rsidR="00BB038C" w:rsidRDefault="00BB038C">
      <w:pPr>
        <w:spacing w:line="500" w:lineRule="atLeast"/>
        <w:ind w:firstLine="600"/>
        <w:divId w:val="1684282535"/>
        <w:rPr>
          <w:rFonts w:hint="eastAsia"/>
          <w:sz w:val="30"/>
          <w:szCs w:val="30"/>
        </w:rPr>
      </w:pPr>
      <w:r>
        <w:rPr>
          <w:rFonts w:hint="eastAsia"/>
          <w:sz w:val="30"/>
          <w:szCs w:val="30"/>
        </w:rPr>
        <w:t>被告人傅国河到案后如实供述监察机关已掌握的行贿事实，如实交代了监察机关未掌握的向张某、彭某行贿的犯罪事实。</w:t>
      </w:r>
    </w:p>
    <w:p w14:paraId="78CC0859" w14:textId="77777777" w:rsidR="00BB038C" w:rsidRDefault="00BB038C">
      <w:pPr>
        <w:spacing w:line="500" w:lineRule="atLeast"/>
        <w:ind w:firstLine="600"/>
        <w:divId w:val="811950492"/>
        <w:rPr>
          <w:rFonts w:hint="eastAsia"/>
          <w:sz w:val="30"/>
          <w:szCs w:val="30"/>
        </w:rPr>
      </w:pPr>
      <w:r>
        <w:rPr>
          <w:rFonts w:hint="eastAsia"/>
          <w:sz w:val="30"/>
          <w:szCs w:val="30"/>
        </w:rPr>
        <w:t>上述事实，被告人傅国河在开庭审理过程中亦无异议，并有立案通知书、干部任免相关文件、张某退休相关文件、深南物工纪</w:t>
      </w:r>
      <w:r>
        <w:rPr>
          <w:rFonts w:hint="eastAsia"/>
          <w:sz w:val="30"/>
          <w:szCs w:val="30"/>
        </w:rPr>
        <w:t>[2010]5</w:t>
      </w:r>
      <w:r>
        <w:rPr>
          <w:rFonts w:hint="eastAsia"/>
          <w:sz w:val="30"/>
          <w:szCs w:val="30"/>
        </w:rPr>
        <w:t>号、深南人任</w:t>
      </w:r>
      <w:r>
        <w:rPr>
          <w:rFonts w:hint="eastAsia"/>
          <w:sz w:val="30"/>
          <w:szCs w:val="30"/>
        </w:rPr>
        <w:t>[2015]60</w:t>
      </w:r>
      <w:r>
        <w:rPr>
          <w:rFonts w:hint="eastAsia"/>
          <w:sz w:val="30"/>
          <w:szCs w:val="30"/>
        </w:rPr>
        <w:t>号、深南物纪</w:t>
      </w:r>
      <w:r>
        <w:rPr>
          <w:rFonts w:hint="eastAsia"/>
          <w:sz w:val="30"/>
          <w:szCs w:val="30"/>
        </w:rPr>
        <w:t>[2016]1</w:t>
      </w:r>
      <w:r>
        <w:rPr>
          <w:rFonts w:hint="eastAsia"/>
          <w:sz w:val="30"/>
          <w:szCs w:val="30"/>
        </w:rPr>
        <w:t>号、深南物请</w:t>
      </w:r>
      <w:r>
        <w:rPr>
          <w:rFonts w:hint="eastAsia"/>
          <w:sz w:val="30"/>
          <w:szCs w:val="30"/>
        </w:rPr>
        <w:t>[2016]2</w:t>
      </w:r>
      <w:r>
        <w:rPr>
          <w:rFonts w:hint="eastAsia"/>
          <w:sz w:val="30"/>
          <w:szCs w:val="30"/>
        </w:rPr>
        <w:t>号、涉案钱款银行流水、深南民请</w:t>
      </w:r>
      <w:r>
        <w:rPr>
          <w:rFonts w:hint="eastAsia"/>
          <w:sz w:val="30"/>
          <w:szCs w:val="30"/>
        </w:rPr>
        <w:t>[2015]34</w:t>
      </w:r>
      <w:r>
        <w:rPr>
          <w:rFonts w:hint="eastAsia"/>
          <w:sz w:val="30"/>
          <w:szCs w:val="30"/>
        </w:rPr>
        <w:t>号南山区民政局关于购置物业建设“深圳湾老年人托养中心”的请示、南府纪重</w:t>
      </w:r>
      <w:r>
        <w:rPr>
          <w:rFonts w:hint="eastAsia"/>
          <w:sz w:val="30"/>
          <w:szCs w:val="30"/>
        </w:rPr>
        <w:t>[2015]15</w:t>
      </w:r>
      <w:r>
        <w:rPr>
          <w:rFonts w:hint="eastAsia"/>
          <w:sz w:val="30"/>
          <w:szCs w:val="30"/>
        </w:rPr>
        <w:t>号南山区政府常务会议重大问题会议纪要、深南民请</w:t>
      </w:r>
      <w:r>
        <w:rPr>
          <w:rFonts w:hint="eastAsia"/>
          <w:sz w:val="30"/>
          <w:szCs w:val="30"/>
        </w:rPr>
        <w:t>[2015]40</w:t>
      </w:r>
      <w:r>
        <w:rPr>
          <w:rFonts w:hint="eastAsia"/>
          <w:sz w:val="30"/>
          <w:szCs w:val="30"/>
        </w:rPr>
        <w:t>号南山区民政局、物业办关于购置二处物业建设老年人托养中心的请示、南府纪重</w:t>
      </w:r>
      <w:r>
        <w:rPr>
          <w:rFonts w:hint="eastAsia"/>
          <w:sz w:val="30"/>
          <w:szCs w:val="30"/>
        </w:rPr>
        <w:t>[2015]17</w:t>
      </w:r>
      <w:r>
        <w:rPr>
          <w:rFonts w:hint="eastAsia"/>
          <w:sz w:val="30"/>
          <w:szCs w:val="30"/>
        </w:rPr>
        <w:t>号南山区政府常务会议重大问题会议纪要、房地产估价报告等、房地产买卖合同、南民局纪</w:t>
      </w:r>
      <w:r>
        <w:rPr>
          <w:rFonts w:hint="eastAsia"/>
          <w:sz w:val="30"/>
          <w:szCs w:val="30"/>
        </w:rPr>
        <w:t>[2015]12</w:t>
      </w:r>
      <w:r>
        <w:rPr>
          <w:rFonts w:hint="eastAsia"/>
          <w:sz w:val="30"/>
          <w:szCs w:val="30"/>
        </w:rPr>
        <w:t>号南山区民政局局长办公会议纪要、深南工纪</w:t>
      </w:r>
      <w:r>
        <w:rPr>
          <w:rFonts w:hint="eastAsia"/>
          <w:sz w:val="30"/>
          <w:szCs w:val="30"/>
        </w:rPr>
        <w:t>[2015]159</w:t>
      </w:r>
      <w:r>
        <w:rPr>
          <w:rFonts w:hint="eastAsia"/>
          <w:sz w:val="30"/>
          <w:szCs w:val="30"/>
        </w:rPr>
        <w:t>号南山区服务基础设施建设项目领导小组</w:t>
      </w:r>
      <w:r>
        <w:rPr>
          <w:rFonts w:hint="eastAsia"/>
          <w:sz w:val="30"/>
          <w:szCs w:val="30"/>
        </w:rPr>
        <w:t>2015</w:t>
      </w:r>
      <w:r>
        <w:rPr>
          <w:rFonts w:hint="eastAsia"/>
          <w:sz w:val="30"/>
          <w:szCs w:val="30"/>
        </w:rPr>
        <w:t>年第五次工作会议纪要、南民局纪</w:t>
      </w:r>
      <w:r>
        <w:rPr>
          <w:rFonts w:hint="eastAsia"/>
          <w:sz w:val="30"/>
          <w:szCs w:val="30"/>
        </w:rPr>
        <w:t>[2015]17</w:t>
      </w:r>
      <w:r>
        <w:rPr>
          <w:rFonts w:hint="eastAsia"/>
          <w:sz w:val="30"/>
          <w:szCs w:val="30"/>
        </w:rPr>
        <w:t>号南山区民政局局长办公会议纪要等、南山监察委补充材料：《关于傅国河到案接受调查的情况说明》、证人张某、孙某、赵某</w:t>
      </w:r>
      <w:r>
        <w:rPr>
          <w:rFonts w:hint="eastAsia"/>
          <w:sz w:val="30"/>
          <w:szCs w:val="30"/>
        </w:rPr>
        <w:t>1</w:t>
      </w:r>
      <w:r>
        <w:rPr>
          <w:rFonts w:hint="eastAsia"/>
          <w:sz w:val="30"/>
          <w:szCs w:val="30"/>
        </w:rPr>
        <w:t>、彭某的证言、被告人傅国河的供述与辩解等经查证属实的证据证实，足以认定。</w:t>
      </w:r>
    </w:p>
    <w:p w14:paraId="46692D13" w14:textId="77777777" w:rsidR="00BB038C" w:rsidRDefault="00BB038C">
      <w:pPr>
        <w:spacing w:line="500" w:lineRule="atLeast"/>
        <w:ind w:firstLine="600"/>
        <w:divId w:val="1322386755"/>
        <w:rPr>
          <w:rFonts w:hint="eastAsia"/>
          <w:sz w:val="30"/>
          <w:szCs w:val="30"/>
        </w:rPr>
      </w:pPr>
      <w:r>
        <w:rPr>
          <w:rFonts w:hint="eastAsia"/>
          <w:sz w:val="30"/>
          <w:szCs w:val="30"/>
        </w:rPr>
        <w:t>公诉机关认为，被告人傅国河为谋取不正当利益，给予国家机关工作人员财物共计人民币</w:t>
      </w:r>
      <w:r>
        <w:rPr>
          <w:rFonts w:hint="eastAsia"/>
          <w:sz w:val="30"/>
          <w:szCs w:val="30"/>
        </w:rPr>
        <w:t>550</w:t>
      </w:r>
      <w:r>
        <w:rPr>
          <w:rFonts w:hint="eastAsia"/>
          <w:sz w:val="30"/>
          <w:szCs w:val="30"/>
        </w:rPr>
        <w:t>万元，构成行贿罪，建议判处被告人傅国河五到十年有期徒刑，并处罚金。</w:t>
      </w:r>
    </w:p>
    <w:p w14:paraId="4BF31DB9" w14:textId="77777777" w:rsidR="00BB038C" w:rsidRDefault="00BB038C">
      <w:pPr>
        <w:spacing w:line="500" w:lineRule="atLeast"/>
        <w:ind w:firstLine="600"/>
        <w:divId w:val="1600866250"/>
        <w:rPr>
          <w:rFonts w:hint="eastAsia"/>
          <w:sz w:val="30"/>
          <w:szCs w:val="30"/>
        </w:rPr>
      </w:pPr>
      <w:r>
        <w:rPr>
          <w:rFonts w:hint="eastAsia"/>
          <w:sz w:val="30"/>
          <w:szCs w:val="30"/>
        </w:rPr>
        <w:t>被告人傅国河对起诉书指控的事实和罪名均无异议。</w:t>
      </w:r>
    </w:p>
    <w:p w14:paraId="48C82AA8" w14:textId="77777777" w:rsidR="00BB038C" w:rsidRDefault="00BB038C">
      <w:pPr>
        <w:spacing w:line="500" w:lineRule="atLeast"/>
        <w:ind w:firstLine="600"/>
        <w:divId w:val="1026366441"/>
        <w:rPr>
          <w:rFonts w:hint="eastAsia"/>
          <w:sz w:val="30"/>
          <w:szCs w:val="30"/>
        </w:rPr>
      </w:pPr>
      <w:r>
        <w:rPr>
          <w:rFonts w:hint="eastAsia"/>
          <w:sz w:val="30"/>
          <w:szCs w:val="30"/>
        </w:rPr>
        <w:t>被告人傅国河的辩护人发表辩护意见称：</w:t>
      </w:r>
      <w:r>
        <w:rPr>
          <w:rFonts w:hint="eastAsia"/>
          <w:sz w:val="30"/>
          <w:szCs w:val="30"/>
        </w:rPr>
        <w:t>1</w:t>
      </w:r>
      <w:r>
        <w:rPr>
          <w:rFonts w:hint="eastAsia"/>
          <w:sz w:val="30"/>
          <w:szCs w:val="30"/>
        </w:rPr>
        <w:t>、本案应定性为单位犯罪，傅国河作为单位的实际控制人承担刑事责任；</w:t>
      </w:r>
      <w:r>
        <w:rPr>
          <w:rFonts w:hint="eastAsia"/>
          <w:sz w:val="30"/>
          <w:szCs w:val="30"/>
        </w:rPr>
        <w:t>2</w:t>
      </w:r>
      <w:r>
        <w:rPr>
          <w:rFonts w:hint="eastAsia"/>
          <w:sz w:val="30"/>
          <w:szCs w:val="30"/>
        </w:rPr>
        <w:t>、行贿数额应以张某案认定结果为依据；</w:t>
      </w:r>
      <w:r>
        <w:rPr>
          <w:rFonts w:hint="eastAsia"/>
          <w:sz w:val="30"/>
          <w:szCs w:val="30"/>
        </w:rPr>
        <w:t>3</w:t>
      </w:r>
      <w:r>
        <w:rPr>
          <w:rFonts w:hint="eastAsia"/>
          <w:sz w:val="30"/>
          <w:szCs w:val="30"/>
        </w:rPr>
        <w:t>、傅国河有自首、积极退赃的情节，且是初犯，请求对其从轻处罚，适用缓刑。</w:t>
      </w:r>
    </w:p>
    <w:p w14:paraId="421950D0" w14:textId="77777777" w:rsidR="00BB038C" w:rsidRDefault="00BB038C">
      <w:pPr>
        <w:spacing w:line="500" w:lineRule="atLeast"/>
        <w:ind w:firstLine="600"/>
        <w:divId w:val="1095518004"/>
        <w:rPr>
          <w:rFonts w:hint="eastAsia"/>
          <w:sz w:val="30"/>
          <w:szCs w:val="30"/>
        </w:rPr>
      </w:pPr>
      <w:r>
        <w:rPr>
          <w:rFonts w:hint="eastAsia"/>
          <w:sz w:val="30"/>
          <w:szCs w:val="30"/>
        </w:rPr>
        <w:t>庭审中，被告人傅国河的辩护人向本院提交了如下证据：</w:t>
      </w:r>
      <w:r>
        <w:rPr>
          <w:rFonts w:hint="eastAsia"/>
          <w:sz w:val="30"/>
          <w:szCs w:val="30"/>
        </w:rPr>
        <w:t>1</w:t>
      </w:r>
      <w:r>
        <w:rPr>
          <w:rFonts w:hint="eastAsia"/>
          <w:sz w:val="30"/>
          <w:szCs w:val="30"/>
        </w:rPr>
        <w:t>、</w:t>
      </w:r>
      <w:r>
        <w:rPr>
          <w:rFonts w:hint="eastAsia"/>
          <w:sz w:val="30"/>
          <w:szCs w:val="30"/>
        </w:rPr>
        <w:t>1</w:t>
      </w:r>
      <w:r>
        <w:rPr>
          <w:rFonts w:hint="eastAsia"/>
          <w:sz w:val="30"/>
          <w:szCs w:val="30"/>
        </w:rPr>
        <w:t>、深圳市天维讯电子有限公司成立及变更信息；</w:t>
      </w:r>
      <w:r>
        <w:rPr>
          <w:rFonts w:hint="eastAsia"/>
          <w:sz w:val="30"/>
          <w:szCs w:val="30"/>
        </w:rPr>
        <w:t>2</w:t>
      </w:r>
      <w:r>
        <w:rPr>
          <w:rFonts w:hint="eastAsia"/>
          <w:sz w:val="30"/>
          <w:szCs w:val="30"/>
        </w:rPr>
        <w:t>、商铺销售代理协议书；</w:t>
      </w:r>
      <w:r>
        <w:rPr>
          <w:rFonts w:hint="eastAsia"/>
          <w:sz w:val="30"/>
          <w:szCs w:val="30"/>
        </w:rPr>
        <w:t>3</w:t>
      </w:r>
      <w:r>
        <w:rPr>
          <w:rFonts w:hint="eastAsia"/>
          <w:sz w:val="30"/>
          <w:szCs w:val="30"/>
        </w:rPr>
        <w:t>、深圳市正兴基础建筑工程有限公司的工商信息；</w:t>
      </w:r>
      <w:r>
        <w:rPr>
          <w:rFonts w:hint="eastAsia"/>
          <w:sz w:val="30"/>
          <w:szCs w:val="30"/>
        </w:rPr>
        <w:t>4</w:t>
      </w:r>
      <w:r>
        <w:rPr>
          <w:rFonts w:hint="eastAsia"/>
          <w:sz w:val="30"/>
          <w:szCs w:val="30"/>
        </w:rPr>
        <w:t>、银行回单；</w:t>
      </w:r>
      <w:r>
        <w:rPr>
          <w:rFonts w:hint="eastAsia"/>
          <w:sz w:val="30"/>
          <w:szCs w:val="30"/>
        </w:rPr>
        <w:t>5</w:t>
      </w:r>
      <w:r>
        <w:rPr>
          <w:rFonts w:hint="eastAsia"/>
          <w:sz w:val="30"/>
          <w:szCs w:val="30"/>
        </w:rPr>
        <w:t>、居间协议书；</w:t>
      </w:r>
      <w:r>
        <w:rPr>
          <w:rFonts w:hint="eastAsia"/>
          <w:sz w:val="30"/>
          <w:szCs w:val="30"/>
        </w:rPr>
        <w:t>6</w:t>
      </w:r>
      <w:r>
        <w:rPr>
          <w:rFonts w:hint="eastAsia"/>
          <w:sz w:val="30"/>
          <w:szCs w:val="30"/>
        </w:rPr>
        <w:t>、彭某刑事判决书。</w:t>
      </w:r>
    </w:p>
    <w:p w14:paraId="603E16F9" w14:textId="77777777" w:rsidR="00BB038C" w:rsidRDefault="00BB038C">
      <w:pPr>
        <w:spacing w:line="500" w:lineRule="atLeast"/>
        <w:ind w:firstLine="600"/>
        <w:divId w:val="947614746"/>
        <w:rPr>
          <w:rFonts w:hint="eastAsia"/>
          <w:sz w:val="30"/>
          <w:szCs w:val="30"/>
        </w:rPr>
      </w:pPr>
      <w:r>
        <w:rPr>
          <w:rFonts w:hint="eastAsia"/>
          <w:sz w:val="30"/>
          <w:szCs w:val="30"/>
        </w:rPr>
        <w:t>关于控辩双方争论的焦点问题，本院综合评析如下：</w:t>
      </w:r>
    </w:p>
    <w:p w14:paraId="49043F60" w14:textId="77777777" w:rsidR="00BB038C" w:rsidRDefault="00BB038C">
      <w:pPr>
        <w:spacing w:line="500" w:lineRule="atLeast"/>
        <w:ind w:firstLine="600"/>
        <w:divId w:val="1008404427"/>
        <w:rPr>
          <w:rFonts w:hint="eastAsia"/>
          <w:sz w:val="30"/>
          <w:szCs w:val="30"/>
        </w:rPr>
      </w:pPr>
      <w:r>
        <w:rPr>
          <w:rFonts w:hint="eastAsia"/>
          <w:sz w:val="30"/>
          <w:szCs w:val="30"/>
        </w:rPr>
        <w:t>1</w:t>
      </w:r>
      <w:r>
        <w:rPr>
          <w:rFonts w:hint="eastAsia"/>
          <w:sz w:val="30"/>
          <w:szCs w:val="30"/>
        </w:rPr>
        <w:t>、本案被告人傅国河的行为是否构成单位犯罪</w:t>
      </w:r>
    </w:p>
    <w:p w14:paraId="43001573" w14:textId="77777777" w:rsidR="00BB038C" w:rsidRDefault="00BB038C">
      <w:pPr>
        <w:spacing w:line="500" w:lineRule="atLeast"/>
        <w:ind w:firstLine="600"/>
        <w:divId w:val="2127918822"/>
        <w:rPr>
          <w:rFonts w:hint="eastAsia"/>
          <w:sz w:val="30"/>
          <w:szCs w:val="30"/>
        </w:rPr>
      </w:pPr>
      <w:r>
        <w:rPr>
          <w:rFonts w:hint="eastAsia"/>
          <w:sz w:val="30"/>
          <w:szCs w:val="30"/>
        </w:rPr>
        <w:t>经查，傅国河于</w:t>
      </w:r>
      <w:r>
        <w:rPr>
          <w:rFonts w:hint="eastAsia"/>
          <w:sz w:val="30"/>
          <w:szCs w:val="30"/>
        </w:rPr>
        <w:t>1997</w:t>
      </w:r>
      <w:r>
        <w:rPr>
          <w:rFonts w:hint="eastAsia"/>
          <w:sz w:val="30"/>
          <w:szCs w:val="30"/>
        </w:rPr>
        <w:t>年成立天维讯公司，担任法定代表人，虽</w:t>
      </w:r>
      <w:r>
        <w:rPr>
          <w:rFonts w:hint="eastAsia"/>
          <w:sz w:val="30"/>
          <w:szCs w:val="30"/>
        </w:rPr>
        <w:t>2001</w:t>
      </w:r>
      <w:r>
        <w:rPr>
          <w:rFonts w:hint="eastAsia"/>
          <w:sz w:val="30"/>
          <w:szCs w:val="30"/>
        </w:rPr>
        <w:t>年退出公司职务，但此后一直为该公司的实际控制人。天维讯公司在本案之前正常经营，不属傅国河为实施本案指控犯罪行为而专门设立。</w:t>
      </w:r>
    </w:p>
    <w:p w14:paraId="7543B2DE" w14:textId="77777777" w:rsidR="00BB038C" w:rsidRDefault="00BB038C">
      <w:pPr>
        <w:spacing w:line="500" w:lineRule="atLeast"/>
        <w:ind w:firstLine="600"/>
        <w:divId w:val="2072188388"/>
        <w:rPr>
          <w:rFonts w:hint="eastAsia"/>
          <w:sz w:val="30"/>
          <w:szCs w:val="30"/>
        </w:rPr>
      </w:pPr>
      <w:r>
        <w:rPr>
          <w:rFonts w:hint="eastAsia"/>
          <w:sz w:val="30"/>
          <w:szCs w:val="30"/>
        </w:rPr>
        <w:t>在案证据显示，在卓越维港物业、恒立心海湾花园物业的销售代理过程中，天维讯公司与出售方签订销售代理协议，约定所得代理佣金归天维讯公司所有，物业过户税费由天维讯公司负责。两处物业的销售代理事项均由天维讯公司签订销售代理协议并且实际履行，代理佣金由天维讯公司收取。因此，本案系天维讯公司为谋取不正当利益而行贿，依法认定为单位犯罪，傅国河作为公司的实际控制人，具体实施行贿行为，系单位犯罪中直接负责的主管人员。对辩护人的相关辩称予以采纳。</w:t>
      </w:r>
    </w:p>
    <w:p w14:paraId="4131E389" w14:textId="77777777" w:rsidR="00BB038C" w:rsidRDefault="00BB038C">
      <w:pPr>
        <w:spacing w:line="500" w:lineRule="atLeast"/>
        <w:ind w:firstLine="600"/>
        <w:divId w:val="1232623591"/>
        <w:rPr>
          <w:rFonts w:hint="eastAsia"/>
          <w:sz w:val="30"/>
          <w:szCs w:val="30"/>
        </w:rPr>
      </w:pPr>
      <w:r>
        <w:rPr>
          <w:rFonts w:hint="eastAsia"/>
          <w:sz w:val="30"/>
          <w:szCs w:val="30"/>
        </w:rPr>
        <w:t>（</w:t>
      </w:r>
      <w:r>
        <w:rPr>
          <w:rFonts w:hint="eastAsia"/>
          <w:sz w:val="30"/>
          <w:szCs w:val="30"/>
        </w:rPr>
        <w:t>1</w:t>
      </w:r>
      <w:r>
        <w:rPr>
          <w:rFonts w:hint="eastAsia"/>
          <w:sz w:val="30"/>
          <w:szCs w:val="30"/>
        </w:rPr>
        <w:t>）关于本案行贿数额</w:t>
      </w:r>
    </w:p>
    <w:p w14:paraId="31F2E666" w14:textId="77777777" w:rsidR="00BB038C" w:rsidRDefault="00BB038C">
      <w:pPr>
        <w:spacing w:line="500" w:lineRule="atLeast"/>
        <w:ind w:firstLine="600"/>
        <w:divId w:val="1679379749"/>
        <w:rPr>
          <w:rFonts w:hint="eastAsia"/>
          <w:sz w:val="30"/>
          <w:szCs w:val="30"/>
        </w:rPr>
      </w:pPr>
      <w:r>
        <w:rPr>
          <w:rFonts w:hint="eastAsia"/>
          <w:sz w:val="30"/>
          <w:szCs w:val="30"/>
        </w:rPr>
        <w:t>本案关联案件张某受贿一案，经深圳市福田区人民法院作出（</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2052</w:t>
      </w:r>
      <w:r>
        <w:rPr>
          <w:rFonts w:hint="eastAsia"/>
          <w:sz w:val="30"/>
          <w:szCs w:val="30"/>
        </w:rPr>
        <w:t>号判决，确定其对傅国河的受贿金额为</w:t>
      </w:r>
      <w:r>
        <w:rPr>
          <w:rFonts w:hint="eastAsia"/>
          <w:sz w:val="30"/>
          <w:szCs w:val="30"/>
        </w:rPr>
        <w:t>245</w:t>
      </w:r>
      <w:r>
        <w:rPr>
          <w:rFonts w:hint="eastAsia"/>
          <w:sz w:val="30"/>
          <w:szCs w:val="30"/>
        </w:rPr>
        <w:t>万，结合傅国河向彭某行贿</w:t>
      </w:r>
      <w:r>
        <w:rPr>
          <w:rFonts w:hint="eastAsia"/>
          <w:sz w:val="30"/>
          <w:szCs w:val="30"/>
        </w:rPr>
        <w:t>150</w:t>
      </w:r>
      <w:r>
        <w:rPr>
          <w:rFonts w:hint="eastAsia"/>
          <w:sz w:val="30"/>
          <w:szCs w:val="30"/>
        </w:rPr>
        <w:t>万元，本院认定本案傅国河行贿数额为</w:t>
      </w:r>
      <w:r>
        <w:rPr>
          <w:rFonts w:hint="eastAsia"/>
          <w:sz w:val="30"/>
          <w:szCs w:val="30"/>
        </w:rPr>
        <w:t>395</w:t>
      </w:r>
      <w:r>
        <w:rPr>
          <w:rFonts w:hint="eastAsia"/>
          <w:sz w:val="30"/>
          <w:szCs w:val="30"/>
        </w:rPr>
        <w:t>万元。</w:t>
      </w:r>
    </w:p>
    <w:p w14:paraId="4E7D928C" w14:textId="77777777" w:rsidR="00BB038C" w:rsidRDefault="00BB038C">
      <w:pPr>
        <w:spacing w:line="500" w:lineRule="atLeast"/>
        <w:ind w:firstLine="600"/>
        <w:divId w:val="420839386"/>
        <w:rPr>
          <w:rFonts w:hint="eastAsia"/>
          <w:sz w:val="30"/>
          <w:szCs w:val="30"/>
        </w:rPr>
      </w:pPr>
      <w:r>
        <w:rPr>
          <w:rFonts w:hint="eastAsia"/>
          <w:sz w:val="30"/>
          <w:szCs w:val="30"/>
        </w:rPr>
        <w:t>本院认为，天维讯公司为谋取不正当利益，由该公司实际控制人被告人傅国河给予国家工作人员现金共计人民币</w:t>
      </w:r>
      <w:r>
        <w:rPr>
          <w:rFonts w:hint="eastAsia"/>
          <w:sz w:val="30"/>
          <w:szCs w:val="30"/>
        </w:rPr>
        <w:t>395</w:t>
      </w:r>
      <w:r>
        <w:rPr>
          <w:rFonts w:hint="eastAsia"/>
          <w:sz w:val="30"/>
          <w:szCs w:val="30"/>
        </w:rPr>
        <w:t>万元，傅国河作为直接负责的主管人员，其行为已构成单位行贿罪。公诉机关指控的犯罪事实清楚，证据确实、充分，但指控罪名不当，本院依法予以变更。傅国河接到监察机关通知后自愿到案配合调查，如实交代了监察机关尚未掌握的向张某、彭某行贿的犯罪事实，系自首，依法予以从轻处罚；傅国河归案后退缴其违法所得，有明显悔罪表现，没有再犯罪的危险，依法可对其适用缓刑。综合本案犯罪数额、手段、认罪态度等事实情节及公诉机关的量刑建议，依照《中华人民共和国刑法》第三百九十三条、第六十七条第一款、第七十二条第一、三款、第七十三条第二、三款、第六十四条之规定，判决如下：</w:t>
      </w:r>
    </w:p>
    <w:p w14:paraId="426BE73E" w14:textId="77777777" w:rsidR="00BB038C" w:rsidRDefault="00BB038C">
      <w:pPr>
        <w:spacing w:line="500" w:lineRule="atLeast"/>
        <w:ind w:firstLine="600"/>
        <w:divId w:val="1813209211"/>
        <w:rPr>
          <w:rFonts w:hint="eastAsia"/>
          <w:sz w:val="30"/>
          <w:szCs w:val="30"/>
        </w:rPr>
      </w:pPr>
      <w:r>
        <w:rPr>
          <w:rFonts w:hint="eastAsia"/>
          <w:sz w:val="30"/>
          <w:szCs w:val="30"/>
        </w:rPr>
        <w:t>一、被告人傅国河犯单位行贿罪，判处有期徒刑一年，缓刑一年六个月，并处罚金人民币三十万元。</w:t>
      </w:r>
    </w:p>
    <w:p w14:paraId="4092FBF5" w14:textId="77777777" w:rsidR="00BB038C" w:rsidRDefault="00BB038C">
      <w:pPr>
        <w:spacing w:line="500" w:lineRule="atLeast"/>
        <w:ind w:firstLine="600"/>
        <w:divId w:val="2133748236"/>
        <w:rPr>
          <w:rFonts w:hint="eastAsia"/>
          <w:sz w:val="30"/>
          <w:szCs w:val="30"/>
        </w:rPr>
      </w:pPr>
      <w:r>
        <w:rPr>
          <w:rFonts w:hint="eastAsia"/>
          <w:sz w:val="30"/>
          <w:szCs w:val="30"/>
        </w:rPr>
        <w:t>（缓刑考验期限，自判决确定之日起计算；罚金已向本院缴纳，上缴国库。）</w:t>
      </w:r>
    </w:p>
    <w:p w14:paraId="61D8B5F3" w14:textId="77777777" w:rsidR="00BB038C" w:rsidRDefault="00BB038C">
      <w:pPr>
        <w:spacing w:line="500" w:lineRule="atLeast"/>
        <w:ind w:firstLine="600"/>
        <w:divId w:val="2052459336"/>
        <w:rPr>
          <w:rFonts w:hint="eastAsia"/>
          <w:sz w:val="30"/>
          <w:szCs w:val="30"/>
        </w:rPr>
      </w:pPr>
      <w:r>
        <w:rPr>
          <w:rFonts w:hint="eastAsia"/>
          <w:sz w:val="30"/>
          <w:szCs w:val="30"/>
        </w:rPr>
        <w:t>二、随案移送的赃款人民币</w:t>
      </w:r>
      <w:r>
        <w:rPr>
          <w:rFonts w:hint="eastAsia"/>
          <w:sz w:val="30"/>
          <w:szCs w:val="30"/>
        </w:rPr>
        <w:t>4600</w:t>
      </w:r>
      <w:r>
        <w:rPr>
          <w:rFonts w:hint="eastAsia"/>
          <w:sz w:val="30"/>
          <w:szCs w:val="30"/>
        </w:rPr>
        <w:t>万元依法予以没收，上缴国库。</w:t>
      </w:r>
    </w:p>
    <w:p w14:paraId="51C92436" w14:textId="77777777" w:rsidR="00BB038C" w:rsidRDefault="00BB038C">
      <w:pPr>
        <w:spacing w:line="500" w:lineRule="atLeast"/>
        <w:ind w:firstLine="600"/>
        <w:divId w:val="150177142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2C7F0BE7" w14:textId="77777777" w:rsidR="00BB038C" w:rsidRDefault="00BB038C">
      <w:pPr>
        <w:spacing w:line="500" w:lineRule="atLeast"/>
        <w:jc w:val="right"/>
        <w:divId w:val="1968005392"/>
        <w:rPr>
          <w:rFonts w:hint="eastAsia"/>
          <w:sz w:val="30"/>
          <w:szCs w:val="30"/>
        </w:rPr>
      </w:pPr>
      <w:r>
        <w:rPr>
          <w:rFonts w:hint="eastAsia"/>
          <w:sz w:val="30"/>
          <w:szCs w:val="30"/>
        </w:rPr>
        <w:t>审　判　长　　张国辉</w:t>
      </w:r>
    </w:p>
    <w:p w14:paraId="20F8600E" w14:textId="77777777" w:rsidR="00BB038C" w:rsidRDefault="00BB038C">
      <w:pPr>
        <w:spacing w:line="500" w:lineRule="atLeast"/>
        <w:jc w:val="right"/>
        <w:divId w:val="1075129987"/>
        <w:rPr>
          <w:rFonts w:hint="eastAsia"/>
          <w:sz w:val="30"/>
          <w:szCs w:val="30"/>
        </w:rPr>
      </w:pPr>
      <w:r>
        <w:rPr>
          <w:rFonts w:hint="eastAsia"/>
          <w:sz w:val="30"/>
          <w:szCs w:val="30"/>
        </w:rPr>
        <w:t>人民陪审员　　辛倩平</w:t>
      </w:r>
    </w:p>
    <w:p w14:paraId="7389C955" w14:textId="77777777" w:rsidR="00BB038C" w:rsidRDefault="00BB038C">
      <w:pPr>
        <w:spacing w:line="500" w:lineRule="atLeast"/>
        <w:jc w:val="right"/>
        <w:divId w:val="1720933792"/>
        <w:rPr>
          <w:rFonts w:hint="eastAsia"/>
          <w:sz w:val="30"/>
          <w:szCs w:val="30"/>
        </w:rPr>
      </w:pPr>
      <w:r>
        <w:rPr>
          <w:rFonts w:hint="eastAsia"/>
          <w:sz w:val="30"/>
          <w:szCs w:val="30"/>
        </w:rPr>
        <w:t>人民陪审员　　赖秀芳</w:t>
      </w:r>
    </w:p>
    <w:p w14:paraId="07FDB054" w14:textId="77777777" w:rsidR="00BB038C" w:rsidRDefault="00BB038C">
      <w:pPr>
        <w:spacing w:line="500" w:lineRule="atLeast"/>
        <w:jc w:val="right"/>
        <w:divId w:val="1856726123"/>
        <w:rPr>
          <w:rFonts w:hint="eastAsia"/>
          <w:sz w:val="30"/>
          <w:szCs w:val="30"/>
        </w:rPr>
      </w:pPr>
      <w:r>
        <w:rPr>
          <w:rFonts w:hint="eastAsia"/>
          <w:sz w:val="30"/>
          <w:szCs w:val="30"/>
        </w:rPr>
        <w:t>二〇一九年十二月五日</w:t>
      </w:r>
    </w:p>
    <w:p w14:paraId="2A62301A" w14:textId="77777777" w:rsidR="00BB038C" w:rsidRDefault="00BB038C">
      <w:pPr>
        <w:spacing w:line="500" w:lineRule="atLeast"/>
        <w:jc w:val="right"/>
        <w:divId w:val="2111660336"/>
        <w:rPr>
          <w:rFonts w:hint="eastAsia"/>
          <w:sz w:val="30"/>
          <w:szCs w:val="30"/>
        </w:rPr>
      </w:pPr>
      <w:r>
        <w:rPr>
          <w:rFonts w:hint="eastAsia"/>
          <w:sz w:val="30"/>
          <w:szCs w:val="30"/>
        </w:rPr>
        <w:t>书　记　员　　苏淦德</w:t>
      </w:r>
    </w:p>
    <w:p w14:paraId="13DC2805" w14:textId="77777777" w:rsidR="00BB038C" w:rsidRDefault="00BB038C">
      <w:pPr>
        <w:spacing w:line="500" w:lineRule="atLeast"/>
        <w:ind w:firstLine="600"/>
        <w:divId w:val="188953473"/>
        <w:rPr>
          <w:rFonts w:hint="eastAsia"/>
          <w:sz w:val="30"/>
          <w:szCs w:val="30"/>
        </w:rPr>
      </w:pPr>
      <w:r>
        <w:rPr>
          <w:rFonts w:hint="eastAsia"/>
          <w:sz w:val="30"/>
          <w:szCs w:val="30"/>
        </w:rPr>
        <w:t>附《中华人民共和国刑法》相关条文</w:t>
      </w:r>
    </w:p>
    <w:p w14:paraId="7FF801BB" w14:textId="77777777" w:rsidR="00BB038C" w:rsidRDefault="00BB038C">
      <w:pPr>
        <w:spacing w:line="500" w:lineRule="atLeast"/>
        <w:ind w:firstLine="600"/>
        <w:divId w:val="60567823"/>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686772CB" w14:textId="77777777" w:rsidR="00BB038C" w:rsidRDefault="00BB038C">
      <w:pPr>
        <w:spacing w:line="500" w:lineRule="atLeast"/>
        <w:ind w:firstLine="600"/>
        <w:divId w:val="34945453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3ABCC5B" w14:textId="77777777" w:rsidR="00BB038C" w:rsidRDefault="00BB038C">
      <w:pPr>
        <w:spacing w:line="500" w:lineRule="atLeast"/>
        <w:ind w:firstLine="600"/>
        <w:divId w:val="16718295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CBAD81" w14:textId="77777777" w:rsidR="00BB038C" w:rsidRDefault="00BB038C">
      <w:pPr>
        <w:spacing w:line="500" w:lineRule="atLeast"/>
        <w:ind w:firstLine="600"/>
        <w:divId w:val="16454255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CBFDAA" w14:textId="77777777" w:rsidR="00BB038C" w:rsidRDefault="00BB038C">
      <w:pPr>
        <w:spacing w:line="500" w:lineRule="atLeast"/>
        <w:ind w:firstLine="600"/>
        <w:divId w:val="848258815"/>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1CCF2765" w14:textId="77777777" w:rsidR="00BB038C" w:rsidRDefault="00BB038C">
      <w:pPr>
        <w:spacing w:line="500" w:lineRule="atLeast"/>
        <w:ind w:firstLine="600"/>
        <w:divId w:val="1523980201"/>
        <w:rPr>
          <w:rFonts w:hint="eastAsia"/>
          <w:sz w:val="30"/>
          <w:szCs w:val="30"/>
        </w:rPr>
      </w:pPr>
      <w:r>
        <w:rPr>
          <w:rFonts w:hint="eastAsia"/>
          <w:sz w:val="30"/>
          <w:szCs w:val="30"/>
        </w:rPr>
        <w:t>（一）犯罪情节较轻；</w:t>
      </w:r>
    </w:p>
    <w:p w14:paraId="52270FDA" w14:textId="77777777" w:rsidR="00BB038C" w:rsidRDefault="00BB038C">
      <w:pPr>
        <w:spacing w:line="500" w:lineRule="atLeast"/>
        <w:ind w:firstLine="600"/>
        <w:divId w:val="743455439"/>
        <w:rPr>
          <w:rFonts w:hint="eastAsia"/>
          <w:sz w:val="30"/>
          <w:szCs w:val="30"/>
        </w:rPr>
      </w:pPr>
      <w:r>
        <w:rPr>
          <w:rFonts w:hint="eastAsia"/>
          <w:sz w:val="30"/>
          <w:szCs w:val="30"/>
        </w:rPr>
        <w:t>（二）有悔罪表现；</w:t>
      </w:r>
    </w:p>
    <w:p w14:paraId="3F9806F2" w14:textId="77777777" w:rsidR="00BB038C" w:rsidRDefault="00BB038C">
      <w:pPr>
        <w:spacing w:line="500" w:lineRule="atLeast"/>
        <w:ind w:firstLine="600"/>
        <w:divId w:val="582448086"/>
        <w:rPr>
          <w:rFonts w:hint="eastAsia"/>
          <w:sz w:val="30"/>
          <w:szCs w:val="30"/>
        </w:rPr>
      </w:pPr>
      <w:r>
        <w:rPr>
          <w:rFonts w:hint="eastAsia"/>
          <w:sz w:val="30"/>
          <w:szCs w:val="30"/>
        </w:rPr>
        <w:t>（三）没有再犯罪的危险；</w:t>
      </w:r>
    </w:p>
    <w:p w14:paraId="464F4935" w14:textId="77777777" w:rsidR="00BB038C" w:rsidRDefault="00BB038C">
      <w:pPr>
        <w:spacing w:line="500" w:lineRule="atLeast"/>
        <w:ind w:firstLine="600"/>
        <w:divId w:val="1989431540"/>
        <w:rPr>
          <w:rFonts w:hint="eastAsia"/>
          <w:sz w:val="30"/>
          <w:szCs w:val="30"/>
        </w:rPr>
      </w:pPr>
      <w:r>
        <w:rPr>
          <w:rFonts w:hint="eastAsia"/>
          <w:sz w:val="30"/>
          <w:szCs w:val="30"/>
        </w:rPr>
        <w:t>（四）宣告缓刑对所居住社区没有重大不良影响。</w:t>
      </w:r>
    </w:p>
    <w:p w14:paraId="6AB8412E" w14:textId="77777777" w:rsidR="00BB038C" w:rsidRDefault="00BB038C">
      <w:pPr>
        <w:spacing w:line="500" w:lineRule="atLeast"/>
        <w:ind w:firstLine="600"/>
        <w:divId w:val="8938111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9A97421" w14:textId="77777777" w:rsidR="00BB038C" w:rsidRDefault="00BB038C">
      <w:pPr>
        <w:spacing w:line="500" w:lineRule="atLeast"/>
        <w:ind w:firstLine="600"/>
        <w:divId w:val="407000768"/>
        <w:rPr>
          <w:rFonts w:hint="eastAsia"/>
          <w:sz w:val="30"/>
          <w:szCs w:val="30"/>
        </w:rPr>
      </w:pPr>
      <w:r>
        <w:rPr>
          <w:rFonts w:hint="eastAsia"/>
          <w:sz w:val="30"/>
          <w:szCs w:val="30"/>
        </w:rPr>
        <w:t>被宣告缓刑的犯罪分子，如果被判处附加刑，附加刑仍须执行。</w:t>
      </w:r>
    </w:p>
    <w:p w14:paraId="34D8D77A" w14:textId="77777777" w:rsidR="00BB038C" w:rsidRDefault="00BB038C">
      <w:pPr>
        <w:spacing w:line="500" w:lineRule="atLeast"/>
        <w:ind w:firstLine="600"/>
        <w:divId w:val="884293179"/>
        <w:rPr>
          <w:rFonts w:hint="eastAsia"/>
          <w:sz w:val="30"/>
          <w:szCs w:val="30"/>
        </w:rPr>
      </w:pPr>
      <w:r>
        <w:rPr>
          <w:rFonts w:hint="eastAsia"/>
          <w:sz w:val="30"/>
          <w:szCs w:val="30"/>
        </w:rPr>
        <w:t>第七十三条【考验期限】拘役的缓刑考验期限为原判刑期以上一年以下，但是不能少于二个月。</w:t>
      </w:r>
    </w:p>
    <w:p w14:paraId="7DCF33B7" w14:textId="77777777" w:rsidR="00BB038C" w:rsidRDefault="00BB038C">
      <w:pPr>
        <w:spacing w:line="500" w:lineRule="atLeast"/>
        <w:ind w:firstLine="600"/>
        <w:divId w:val="158472851"/>
        <w:rPr>
          <w:rFonts w:hint="eastAsia"/>
          <w:sz w:val="30"/>
          <w:szCs w:val="30"/>
        </w:rPr>
      </w:pPr>
      <w:r>
        <w:rPr>
          <w:rFonts w:hint="eastAsia"/>
          <w:sz w:val="30"/>
          <w:szCs w:val="30"/>
        </w:rPr>
        <w:t>有期徒刑的缓刑考验期限为原判刑期以上五年以下，但是不能少于一年。</w:t>
      </w:r>
    </w:p>
    <w:p w14:paraId="10FFEFDD" w14:textId="77777777" w:rsidR="00BB038C" w:rsidRDefault="00BB038C">
      <w:pPr>
        <w:spacing w:line="500" w:lineRule="atLeast"/>
        <w:ind w:firstLine="600"/>
        <w:divId w:val="373122694"/>
        <w:rPr>
          <w:rFonts w:hint="eastAsia"/>
          <w:sz w:val="30"/>
          <w:szCs w:val="30"/>
        </w:rPr>
      </w:pPr>
      <w:r>
        <w:rPr>
          <w:rFonts w:hint="eastAsia"/>
          <w:sz w:val="30"/>
          <w:szCs w:val="30"/>
        </w:rPr>
        <w:t>缓刑考验期限，从判决确定之日起计算。</w:t>
      </w:r>
    </w:p>
    <w:p w14:paraId="45A1B8D7" w14:textId="77777777" w:rsidR="00BB038C" w:rsidRDefault="00BB038C">
      <w:pPr>
        <w:spacing w:line="500" w:lineRule="atLeast"/>
        <w:ind w:firstLine="600"/>
        <w:divId w:val="1099594715"/>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B8AF" w14:textId="77777777" w:rsidR="00BB038C" w:rsidRDefault="00BB038C" w:rsidP="00BB038C">
      <w:pPr>
        <w:rPr>
          <w:rFonts w:hint="eastAsia"/>
        </w:rPr>
      </w:pPr>
      <w:r>
        <w:separator/>
      </w:r>
    </w:p>
  </w:endnote>
  <w:endnote w:type="continuationSeparator" w:id="0">
    <w:p w14:paraId="01C37CE2" w14:textId="77777777" w:rsidR="00BB038C" w:rsidRDefault="00BB038C" w:rsidP="00BB03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BBAE" w14:textId="77777777" w:rsidR="00BB038C" w:rsidRDefault="00BB038C" w:rsidP="00BB038C">
      <w:pPr>
        <w:rPr>
          <w:rFonts w:hint="eastAsia"/>
        </w:rPr>
      </w:pPr>
      <w:r>
        <w:separator/>
      </w:r>
    </w:p>
  </w:footnote>
  <w:footnote w:type="continuationSeparator" w:id="0">
    <w:p w14:paraId="34D7BDCA" w14:textId="77777777" w:rsidR="00BB038C" w:rsidRDefault="00BB038C" w:rsidP="00BB03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038C"/>
    <w:rsid w:val="002A784C"/>
    <w:rsid w:val="00BB0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979C7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038C"/>
    <w:pPr>
      <w:tabs>
        <w:tab w:val="center" w:pos="4153"/>
        <w:tab w:val="right" w:pos="8306"/>
      </w:tabs>
      <w:snapToGrid w:val="0"/>
      <w:jc w:val="center"/>
    </w:pPr>
    <w:rPr>
      <w:sz w:val="18"/>
      <w:szCs w:val="18"/>
    </w:rPr>
  </w:style>
  <w:style w:type="character" w:customStyle="1" w:styleId="a4">
    <w:name w:val="页眉 字符"/>
    <w:basedOn w:val="a0"/>
    <w:link w:val="a3"/>
    <w:uiPriority w:val="99"/>
    <w:rsid w:val="00BB038C"/>
    <w:rPr>
      <w:rFonts w:ascii="宋体" w:eastAsia="宋体" w:hAnsi="宋体" w:cs="宋体"/>
      <w:sz w:val="18"/>
      <w:szCs w:val="18"/>
    </w:rPr>
  </w:style>
  <w:style w:type="paragraph" w:styleId="a5">
    <w:name w:val="footer"/>
    <w:basedOn w:val="a"/>
    <w:link w:val="a6"/>
    <w:uiPriority w:val="99"/>
    <w:unhideWhenUsed/>
    <w:rsid w:val="00BB038C"/>
    <w:pPr>
      <w:tabs>
        <w:tab w:val="center" w:pos="4153"/>
        <w:tab w:val="right" w:pos="8306"/>
      </w:tabs>
      <w:snapToGrid w:val="0"/>
    </w:pPr>
    <w:rPr>
      <w:sz w:val="18"/>
      <w:szCs w:val="18"/>
    </w:rPr>
  </w:style>
  <w:style w:type="character" w:customStyle="1" w:styleId="a6">
    <w:name w:val="页脚 字符"/>
    <w:basedOn w:val="a0"/>
    <w:link w:val="a5"/>
    <w:uiPriority w:val="99"/>
    <w:rsid w:val="00BB03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7823">
      <w:marLeft w:val="0"/>
      <w:marRight w:val="0"/>
      <w:marTop w:val="10"/>
      <w:marBottom w:val="10"/>
      <w:divBdr>
        <w:top w:val="none" w:sz="0" w:space="0" w:color="auto"/>
        <w:left w:val="none" w:sz="0" w:space="0" w:color="auto"/>
        <w:bottom w:val="none" w:sz="0" w:space="0" w:color="auto"/>
        <w:right w:val="none" w:sz="0" w:space="0" w:color="auto"/>
      </w:divBdr>
    </w:div>
    <w:div w:id="89472748">
      <w:marLeft w:val="0"/>
      <w:marRight w:val="0"/>
      <w:marTop w:val="10"/>
      <w:marBottom w:val="10"/>
      <w:divBdr>
        <w:top w:val="none" w:sz="0" w:space="0" w:color="auto"/>
        <w:left w:val="none" w:sz="0" w:space="0" w:color="auto"/>
        <w:bottom w:val="none" w:sz="0" w:space="0" w:color="auto"/>
        <w:right w:val="none" w:sz="0" w:space="0" w:color="auto"/>
      </w:divBdr>
    </w:div>
    <w:div w:id="158472851">
      <w:marLeft w:val="0"/>
      <w:marRight w:val="0"/>
      <w:marTop w:val="10"/>
      <w:marBottom w:val="10"/>
      <w:divBdr>
        <w:top w:val="none" w:sz="0" w:space="0" w:color="auto"/>
        <w:left w:val="none" w:sz="0" w:space="0" w:color="auto"/>
        <w:bottom w:val="none" w:sz="0" w:space="0" w:color="auto"/>
        <w:right w:val="none" w:sz="0" w:space="0" w:color="auto"/>
      </w:divBdr>
    </w:div>
    <w:div w:id="188953473">
      <w:marLeft w:val="0"/>
      <w:marRight w:val="0"/>
      <w:marTop w:val="10"/>
      <w:marBottom w:val="10"/>
      <w:divBdr>
        <w:top w:val="none" w:sz="0" w:space="0" w:color="auto"/>
        <w:left w:val="none" w:sz="0" w:space="0" w:color="auto"/>
        <w:bottom w:val="none" w:sz="0" w:space="0" w:color="auto"/>
        <w:right w:val="none" w:sz="0" w:space="0" w:color="auto"/>
      </w:divBdr>
    </w:div>
    <w:div w:id="349454533">
      <w:marLeft w:val="0"/>
      <w:marRight w:val="0"/>
      <w:marTop w:val="10"/>
      <w:marBottom w:val="10"/>
      <w:divBdr>
        <w:top w:val="none" w:sz="0" w:space="0" w:color="auto"/>
        <w:left w:val="none" w:sz="0" w:space="0" w:color="auto"/>
        <w:bottom w:val="none" w:sz="0" w:space="0" w:color="auto"/>
        <w:right w:val="none" w:sz="0" w:space="0" w:color="auto"/>
      </w:divBdr>
    </w:div>
    <w:div w:id="373122694">
      <w:marLeft w:val="0"/>
      <w:marRight w:val="0"/>
      <w:marTop w:val="10"/>
      <w:marBottom w:val="10"/>
      <w:divBdr>
        <w:top w:val="none" w:sz="0" w:space="0" w:color="auto"/>
        <w:left w:val="none" w:sz="0" w:space="0" w:color="auto"/>
        <w:bottom w:val="none" w:sz="0" w:space="0" w:color="auto"/>
        <w:right w:val="none" w:sz="0" w:space="0" w:color="auto"/>
      </w:divBdr>
    </w:div>
    <w:div w:id="407000768">
      <w:marLeft w:val="0"/>
      <w:marRight w:val="0"/>
      <w:marTop w:val="10"/>
      <w:marBottom w:val="10"/>
      <w:divBdr>
        <w:top w:val="none" w:sz="0" w:space="0" w:color="auto"/>
        <w:left w:val="none" w:sz="0" w:space="0" w:color="auto"/>
        <w:bottom w:val="none" w:sz="0" w:space="0" w:color="auto"/>
        <w:right w:val="none" w:sz="0" w:space="0" w:color="auto"/>
      </w:divBdr>
    </w:div>
    <w:div w:id="420839386">
      <w:marLeft w:val="0"/>
      <w:marRight w:val="0"/>
      <w:marTop w:val="10"/>
      <w:marBottom w:val="10"/>
      <w:divBdr>
        <w:top w:val="none" w:sz="0" w:space="0" w:color="auto"/>
        <w:left w:val="none" w:sz="0" w:space="0" w:color="auto"/>
        <w:bottom w:val="none" w:sz="0" w:space="0" w:color="auto"/>
        <w:right w:val="none" w:sz="0" w:space="0" w:color="auto"/>
      </w:divBdr>
    </w:div>
    <w:div w:id="441385034">
      <w:marLeft w:val="0"/>
      <w:marRight w:val="0"/>
      <w:marTop w:val="10"/>
      <w:marBottom w:val="10"/>
      <w:divBdr>
        <w:top w:val="none" w:sz="0" w:space="0" w:color="auto"/>
        <w:left w:val="none" w:sz="0" w:space="0" w:color="auto"/>
        <w:bottom w:val="none" w:sz="0" w:space="0" w:color="auto"/>
        <w:right w:val="none" w:sz="0" w:space="0" w:color="auto"/>
      </w:divBdr>
    </w:div>
    <w:div w:id="539242524">
      <w:marLeft w:val="0"/>
      <w:marRight w:val="0"/>
      <w:marTop w:val="10"/>
      <w:marBottom w:val="10"/>
      <w:divBdr>
        <w:top w:val="none" w:sz="0" w:space="0" w:color="auto"/>
        <w:left w:val="none" w:sz="0" w:space="0" w:color="auto"/>
        <w:bottom w:val="none" w:sz="0" w:space="0" w:color="auto"/>
        <w:right w:val="none" w:sz="0" w:space="0" w:color="auto"/>
      </w:divBdr>
    </w:div>
    <w:div w:id="582448086">
      <w:marLeft w:val="0"/>
      <w:marRight w:val="0"/>
      <w:marTop w:val="10"/>
      <w:marBottom w:val="10"/>
      <w:divBdr>
        <w:top w:val="none" w:sz="0" w:space="0" w:color="auto"/>
        <w:left w:val="none" w:sz="0" w:space="0" w:color="auto"/>
        <w:bottom w:val="none" w:sz="0" w:space="0" w:color="auto"/>
        <w:right w:val="none" w:sz="0" w:space="0" w:color="auto"/>
      </w:divBdr>
    </w:div>
    <w:div w:id="649750551">
      <w:marLeft w:val="0"/>
      <w:marRight w:val="0"/>
      <w:marTop w:val="10"/>
      <w:marBottom w:val="10"/>
      <w:divBdr>
        <w:top w:val="none" w:sz="0" w:space="0" w:color="auto"/>
        <w:left w:val="none" w:sz="0" w:space="0" w:color="auto"/>
        <w:bottom w:val="none" w:sz="0" w:space="0" w:color="auto"/>
        <w:right w:val="none" w:sz="0" w:space="0" w:color="auto"/>
      </w:divBdr>
    </w:div>
    <w:div w:id="743455439">
      <w:marLeft w:val="0"/>
      <w:marRight w:val="0"/>
      <w:marTop w:val="10"/>
      <w:marBottom w:val="10"/>
      <w:divBdr>
        <w:top w:val="none" w:sz="0" w:space="0" w:color="auto"/>
        <w:left w:val="none" w:sz="0" w:space="0" w:color="auto"/>
        <w:bottom w:val="none" w:sz="0" w:space="0" w:color="auto"/>
        <w:right w:val="none" w:sz="0" w:space="0" w:color="auto"/>
      </w:divBdr>
    </w:div>
    <w:div w:id="811950492">
      <w:marLeft w:val="0"/>
      <w:marRight w:val="0"/>
      <w:marTop w:val="10"/>
      <w:marBottom w:val="10"/>
      <w:divBdr>
        <w:top w:val="none" w:sz="0" w:space="0" w:color="auto"/>
        <w:left w:val="none" w:sz="0" w:space="0" w:color="auto"/>
        <w:bottom w:val="none" w:sz="0" w:space="0" w:color="auto"/>
        <w:right w:val="none" w:sz="0" w:space="0" w:color="auto"/>
      </w:divBdr>
    </w:div>
    <w:div w:id="831868894">
      <w:marLeft w:val="0"/>
      <w:marRight w:val="0"/>
      <w:marTop w:val="10"/>
      <w:marBottom w:val="10"/>
      <w:divBdr>
        <w:top w:val="none" w:sz="0" w:space="0" w:color="auto"/>
        <w:left w:val="none" w:sz="0" w:space="0" w:color="auto"/>
        <w:bottom w:val="none" w:sz="0" w:space="0" w:color="auto"/>
        <w:right w:val="none" w:sz="0" w:space="0" w:color="auto"/>
      </w:divBdr>
    </w:div>
    <w:div w:id="848258815">
      <w:marLeft w:val="0"/>
      <w:marRight w:val="0"/>
      <w:marTop w:val="10"/>
      <w:marBottom w:val="10"/>
      <w:divBdr>
        <w:top w:val="none" w:sz="0" w:space="0" w:color="auto"/>
        <w:left w:val="none" w:sz="0" w:space="0" w:color="auto"/>
        <w:bottom w:val="none" w:sz="0" w:space="0" w:color="auto"/>
        <w:right w:val="none" w:sz="0" w:space="0" w:color="auto"/>
      </w:divBdr>
    </w:div>
    <w:div w:id="884293179">
      <w:marLeft w:val="0"/>
      <w:marRight w:val="0"/>
      <w:marTop w:val="10"/>
      <w:marBottom w:val="10"/>
      <w:divBdr>
        <w:top w:val="none" w:sz="0" w:space="0" w:color="auto"/>
        <w:left w:val="none" w:sz="0" w:space="0" w:color="auto"/>
        <w:bottom w:val="none" w:sz="0" w:space="0" w:color="auto"/>
        <w:right w:val="none" w:sz="0" w:space="0" w:color="auto"/>
      </w:divBdr>
    </w:div>
    <w:div w:id="893811127">
      <w:marLeft w:val="0"/>
      <w:marRight w:val="0"/>
      <w:marTop w:val="10"/>
      <w:marBottom w:val="10"/>
      <w:divBdr>
        <w:top w:val="none" w:sz="0" w:space="0" w:color="auto"/>
        <w:left w:val="none" w:sz="0" w:space="0" w:color="auto"/>
        <w:bottom w:val="none" w:sz="0" w:space="0" w:color="auto"/>
        <w:right w:val="none" w:sz="0" w:space="0" w:color="auto"/>
      </w:divBdr>
    </w:div>
    <w:div w:id="947614746">
      <w:marLeft w:val="0"/>
      <w:marRight w:val="0"/>
      <w:marTop w:val="10"/>
      <w:marBottom w:val="10"/>
      <w:divBdr>
        <w:top w:val="none" w:sz="0" w:space="0" w:color="auto"/>
        <w:left w:val="none" w:sz="0" w:space="0" w:color="auto"/>
        <w:bottom w:val="none" w:sz="0" w:space="0" w:color="auto"/>
        <w:right w:val="none" w:sz="0" w:space="0" w:color="auto"/>
      </w:divBdr>
    </w:div>
    <w:div w:id="1008404427">
      <w:marLeft w:val="0"/>
      <w:marRight w:val="0"/>
      <w:marTop w:val="10"/>
      <w:marBottom w:val="10"/>
      <w:divBdr>
        <w:top w:val="none" w:sz="0" w:space="0" w:color="auto"/>
        <w:left w:val="none" w:sz="0" w:space="0" w:color="auto"/>
        <w:bottom w:val="none" w:sz="0" w:space="0" w:color="auto"/>
        <w:right w:val="none" w:sz="0" w:space="0" w:color="auto"/>
      </w:divBdr>
    </w:div>
    <w:div w:id="1026366441">
      <w:marLeft w:val="0"/>
      <w:marRight w:val="0"/>
      <w:marTop w:val="10"/>
      <w:marBottom w:val="10"/>
      <w:divBdr>
        <w:top w:val="none" w:sz="0" w:space="0" w:color="auto"/>
        <w:left w:val="none" w:sz="0" w:space="0" w:color="auto"/>
        <w:bottom w:val="none" w:sz="0" w:space="0" w:color="auto"/>
        <w:right w:val="none" w:sz="0" w:space="0" w:color="auto"/>
      </w:divBdr>
    </w:div>
    <w:div w:id="1060909518">
      <w:marLeft w:val="0"/>
      <w:marRight w:val="0"/>
      <w:marTop w:val="10"/>
      <w:marBottom w:val="10"/>
      <w:divBdr>
        <w:top w:val="none" w:sz="0" w:space="0" w:color="auto"/>
        <w:left w:val="none" w:sz="0" w:space="0" w:color="auto"/>
        <w:bottom w:val="none" w:sz="0" w:space="0" w:color="auto"/>
        <w:right w:val="none" w:sz="0" w:space="0" w:color="auto"/>
      </w:divBdr>
    </w:div>
    <w:div w:id="1061905431">
      <w:marLeft w:val="0"/>
      <w:marRight w:val="0"/>
      <w:marTop w:val="10"/>
      <w:marBottom w:val="10"/>
      <w:divBdr>
        <w:top w:val="none" w:sz="0" w:space="0" w:color="auto"/>
        <w:left w:val="none" w:sz="0" w:space="0" w:color="auto"/>
        <w:bottom w:val="none" w:sz="0" w:space="0" w:color="auto"/>
        <w:right w:val="none" w:sz="0" w:space="0" w:color="auto"/>
      </w:divBdr>
    </w:div>
    <w:div w:id="1075129987">
      <w:marLeft w:val="0"/>
      <w:marRight w:val="720"/>
      <w:marTop w:val="10"/>
      <w:marBottom w:val="10"/>
      <w:divBdr>
        <w:top w:val="none" w:sz="0" w:space="0" w:color="auto"/>
        <w:left w:val="none" w:sz="0" w:space="0" w:color="auto"/>
        <w:bottom w:val="none" w:sz="0" w:space="0" w:color="auto"/>
        <w:right w:val="none" w:sz="0" w:space="0" w:color="auto"/>
      </w:divBdr>
    </w:div>
    <w:div w:id="1095518004">
      <w:marLeft w:val="0"/>
      <w:marRight w:val="0"/>
      <w:marTop w:val="10"/>
      <w:marBottom w:val="10"/>
      <w:divBdr>
        <w:top w:val="none" w:sz="0" w:space="0" w:color="auto"/>
        <w:left w:val="none" w:sz="0" w:space="0" w:color="auto"/>
        <w:bottom w:val="none" w:sz="0" w:space="0" w:color="auto"/>
        <w:right w:val="none" w:sz="0" w:space="0" w:color="auto"/>
      </w:divBdr>
    </w:div>
    <w:div w:id="1099594715">
      <w:marLeft w:val="0"/>
      <w:marRight w:val="0"/>
      <w:marTop w:val="10"/>
      <w:marBottom w:val="10"/>
      <w:divBdr>
        <w:top w:val="none" w:sz="0" w:space="0" w:color="auto"/>
        <w:left w:val="none" w:sz="0" w:space="0" w:color="auto"/>
        <w:bottom w:val="none" w:sz="0" w:space="0" w:color="auto"/>
        <w:right w:val="none" w:sz="0" w:space="0" w:color="auto"/>
      </w:divBdr>
    </w:div>
    <w:div w:id="1232623591">
      <w:marLeft w:val="0"/>
      <w:marRight w:val="0"/>
      <w:marTop w:val="10"/>
      <w:marBottom w:val="10"/>
      <w:divBdr>
        <w:top w:val="none" w:sz="0" w:space="0" w:color="auto"/>
        <w:left w:val="none" w:sz="0" w:space="0" w:color="auto"/>
        <w:bottom w:val="none" w:sz="0" w:space="0" w:color="auto"/>
        <w:right w:val="none" w:sz="0" w:space="0" w:color="auto"/>
      </w:divBdr>
    </w:div>
    <w:div w:id="1322386755">
      <w:marLeft w:val="0"/>
      <w:marRight w:val="0"/>
      <w:marTop w:val="10"/>
      <w:marBottom w:val="10"/>
      <w:divBdr>
        <w:top w:val="none" w:sz="0" w:space="0" w:color="auto"/>
        <w:left w:val="none" w:sz="0" w:space="0" w:color="auto"/>
        <w:bottom w:val="none" w:sz="0" w:space="0" w:color="auto"/>
        <w:right w:val="none" w:sz="0" w:space="0" w:color="auto"/>
      </w:divBdr>
    </w:div>
    <w:div w:id="1380788868">
      <w:marLeft w:val="0"/>
      <w:marRight w:val="0"/>
      <w:marTop w:val="10"/>
      <w:marBottom w:val="10"/>
      <w:divBdr>
        <w:top w:val="none" w:sz="0" w:space="0" w:color="auto"/>
        <w:left w:val="none" w:sz="0" w:space="0" w:color="auto"/>
        <w:bottom w:val="none" w:sz="0" w:space="0" w:color="auto"/>
        <w:right w:val="none" w:sz="0" w:space="0" w:color="auto"/>
      </w:divBdr>
    </w:div>
    <w:div w:id="1501771426">
      <w:marLeft w:val="0"/>
      <w:marRight w:val="0"/>
      <w:marTop w:val="10"/>
      <w:marBottom w:val="10"/>
      <w:divBdr>
        <w:top w:val="none" w:sz="0" w:space="0" w:color="auto"/>
        <w:left w:val="none" w:sz="0" w:space="0" w:color="auto"/>
        <w:bottom w:val="none" w:sz="0" w:space="0" w:color="auto"/>
        <w:right w:val="none" w:sz="0" w:space="0" w:color="auto"/>
      </w:divBdr>
    </w:div>
    <w:div w:id="1523980201">
      <w:marLeft w:val="0"/>
      <w:marRight w:val="0"/>
      <w:marTop w:val="10"/>
      <w:marBottom w:val="10"/>
      <w:divBdr>
        <w:top w:val="none" w:sz="0" w:space="0" w:color="auto"/>
        <w:left w:val="none" w:sz="0" w:space="0" w:color="auto"/>
        <w:bottom w:val="none" w:sz="0" w:space="0" w:color="auto"/>
        <w:right w:val="none" w:sz="0" w:space="0" w:color="auto"/>
      </w:divBdr>
    </w:div>
    <w:div w:id="1600866250">
      <w:marLeft w:val="0"/>
      <w:marRight w:val="0"/>
      <w:marTop w:val="10"/>
      <w:marBottom w:val="10"/>
      <w:divBdr>
        <w:top w:val="none" w:sz="0" w:space="0" w:color="auto"/>
        <w:left w:val="none" w:sz="0" w:space="0" w:color="auto"/>
        <w:bottom w:val="none" w:sz="0" w:space="0" w:color="auto"/>
        <w:right w:val="none" w:sz="0" w:space="0" w:color="auto"/>
      </w:divBdr>
    </w:div>
    <w:div w:id="1605963051">
      <w:marLeft w:val="0"/>
      <w:marRight w:val="0"/>
      <w:marTop w:val="10"/>
      <w:marBottom w:val="10"/>
      <w:divBdr>
        <w:top w:val="none" w:sz="0" w:space="0" w:color="auto"/>
        <w:left w:val="none" w:sz="0" w:space="0" w:color="auto"/>
        <w:bottom w:val="none" w:sz="0" w:space="0" w:color="auto"/>
        <w:right w:val="none" w:sz="0" w:space="0" w:color="auto"/>
      </w:divBdr>
    </w:div>
    <w:div w:id="1645425522">
      <w:marLeft w:val="0"/>
      <w:marRight w:val="0"/>
      <w:marTop w:val="10"/>
      <w:marBottom w:val="10"/>
      <w:divBdr>
        <w:top w:val="none" w:sz="0" w:space="0" w:color="auto"/>
        <w:left w:val="none" w:sz="0" w:space="0" w:color="auto"/>
        <w:bottom w:val="none" w:sz="0" w:space="0" w:color="auto"/>
        <w:right w:val="none" w:sz="0" w:space="0" w:color="auto"/>
      </w:divBdr>
    </w:div>
    <w:div w:id="1671829568">
      <w:marLeft w:val="0"/>
      <w:marRight w:val="0"/>
      <w:marTop w:val="10"/>
      <w:marBottom w:val="10"/>
      <w:divBdr>
        <w:top w:val="none" w:sz="0" w:space="0" w:color="auto"/>
        <w:left w:val="none" w:sz="0" w:space="0" w:color="auto"/>
        <w:bottom w:val="none" w:sz="0" w:space="0" w:color="auto"/>
        <w:right w:val="none" w:sz="0" w:space="0" w:color="auto"/>
      </w:divBdr>
    </w:div>
    <w:div w:id="1679379749">
      <w:marLeft w:val="0"/>
      <w:marRight w:val="0"/>
      <w:marTop w:val="10"/>
      <w:marBottom w:val="10"/>
      <w:divBdr>
        <w:top w:val="none" w:sz="0" w:space="0" w:color="auto"/>
        <w:left w:val="none" w:sz="0" w:space="0" w:color="auto"/>
        <w:bottom w:val="none" w:sz="0" w:space="0" w:color="auto"/>
        <w:right w:val="none" w:sz="0" w:space="0" w:color="auto"/>
      </w:divBdr>
    </w:div>
    <w:div w:id="1684282535">
      <w:marLeft w:val="0"/>
      <w:marRight w:val="0"/>
      <w:marTop w:val="10"/>
      <w:marBottom w:val="10"/>
      <w:divBdr>
        <w:top w:val="none" w:sz="0" w:space="0" w:color="auto"/>
        <w:left w:val="none" w:sz="0" w:space="0" w:color="auto"/>
        <w:bottom w:val="none" w:sz="0" w:space="0" w:color="auto"/>
        <w:right w:val="none" w:sz="0" w:space="0" w:color="auto"/>
      </w:divBdr>
    </w:div>
    <w:div w:id="1720933792">
      <w:marLeft w:val="0"/>
      <w:marRight w:val="720"/>
      <w:marTop w:val="10"/>
      <w:marBottom w:val="10"/>
      <w:divBdr>
        <w:top w:val="none" w:sz="0" w:space="0" w:color="auto"/>
        <w:left w:val="none" w:sz="0" w:space="0" w:color="auto"/>
        <w:bottom w:val="none" w:sz="0" w:space="0" w:color="auto"/>
        <w:right w:val="none" w:sz="0" w:space="0" w:color="auto"/>
      </w:divBdr>
    </w:div>
    <w:div w:id="1813209211">
      <w:marLeft w:val="0"/>
      <w:marRight w:val="0"/>
      <w:marTop w:val="10"/>
      <w:marBottom w:val="10"/>
      <w:divBdr>
        <w:top w:val="none" w:sz="0" w:space="0" w:color="auto"/>
        <w:left w:val="none" w:sz="0" w:space="0" w:color="auto"/>
        <w:bottom w:val="none" w:sz="0" w:space="0" w:color="auto"/>
        <w:right w:val="none" w:sz="0" w:space="0" w:color="auto"/>
      </w:divBdr>
    </w:div>
    <w:div w:id="1856726123">
      <w:marLeft w:val="0"/>
      <w:marRight w:val="720"/>
      <w:marTop w:val="10"/>
      <w:marBottom w:val="10"/>
      <w:divBdr>
        <w:top w:val="none" w:sz="0" w:space="0" w:color="auto"/>
        <w:left w:val="none" w:sz="0" w:space="0" w:color="auto"/>
        <w:bottom w:val="none" w:sz="0" w:space="0" w:color="auto"/>
        <w:right w:val="none" w:sz="0" w:space="0" w:color="auto"/>
      </w:divBdr>
    </w:div>
    <w:div w:id="1923563872">
      <w:marLeft w:val="0"/>
      <w:marRight w:val="0"/>
      <w:marTop w:val="10"/>
      <w:marBottom w:val="10"/>
      <w:divBdr>
        <w:top w:val="none" w:sz="0" w:space="0" w:color="auto"/>
        <w:left w:val="none" w:sz="0" w:space="0" w:color="auto"/>
        <w:bottom w:val="none" w:sz="0" w:space="0" w:color="auto"/>
        <w:right w:val="none" w:sz="0" w:space="0" w:color="auto"/>
      </w:divBdr>
    </w:div>
    <w:div w:id="1968005392">
      <w:marLeft w:val="0"/>
      <w:marRight w:val="720"/>
      <w:marTop w:val="10"/>
      <w:marBottom w:val="10"/>
      <w:divBdr>
        <w:top w:val="none" w:sz="0" w:space="0" w:color="auto"/>
        <w:left w:val="none" w:sz="0" w:space="0" w:color="auto"/>
        <w:bottom w:val="none" w:sz="0" w:space="0" w:color="auto"/>
        <w:right w:val="none" w:sz="0" w:space="0" w:color="auto"/>
      </w:divBdr>
    </w:div>
    <w:div w:id="1989431540">
      <w:marLeft w:val="0"/>
      <w:marRight w:val="0"/>
      <w:marTop w:val="10"/>
      <w:marBottom w:val="10"/>
      <w:divBdr>
        <w:top w:val="none" w:sz="0" w:space="0" w:color="auto"/>
        <w:left w:val="none" w:sz="0" w:space="0" w:color="auto"/>
        <w:bottom w:val="none" w:sz="0" w:space="0" w:color="auto"/>
        <w:right w:val="none" w:sz="0" w:space="0" w:color="auto"/>
      </w:divBdr>
    </w:div>
    <w:div w:id="2052459336">
      <w:marLeft w:val="0"/>
      <w:marRight w:val="0"/>
      <w:marTop w:val="10"/>
      <w:marBottom w:val="10"/>
      <w:divBdr>
        <w:top w:val="none" w:sz="0" w:space="0" w:color="auto"/>
        <w:left w:val="none" w:sz="0" w:space="0" w:color="auto"/>
        <w:bottom w:val="none" w:sz="0" w:space="0" w:color="auto"/>
        <w:right w:val="none" w:sz="0" w:space="0" w:color="auto"/>
      </w:divBdr>
    </w:div>
    <w:div w:id="2072188388">
      <w:marLeft w:val="0"/>
      <w:marRight w:val="0"/>
      <w:marTop w:val="10"/>
      <w:marBottom w:val="10"/>
      <w:divBdr>
        <w:top w:val="none" w:sz="0" w:space="0" w:color="auto"/>
        <w:left w:val="none" w:sz="0" w:space="0" w:color="auto"/>
        <w:bottom w:val="none" w:sz="0" w:space="0" w:color="auto"/>
        <w:right w:val="none" w:sz="0" w:space="0" w:color="auto"/>
      </w:divBdr>
    </w:div>
    <w:div w:id="2111660336">
      <w:marLeft w:val="0"/>
      <w:marRight w:val="720"/>
      <w:marTop w:val="10"/>
      <w:marBottom w:val="10"/>
      <w:divBdr>
        <w:top w:val="none" w:sz="0" w:space="0" w:color="auto"/>
        <w:left w:val="none" w:sz="0" w:space="0" w:color="auto"/>
        <w:bottom w:val="none" w:sz="0" w:space="0" w:color="auto"/>
        <w:right w:val="none" w:sz="0" w:space="0" w:color="auto"/>
      </w:divBdr>
    </w:div>
    <w:div w:id="2127918822">
      <w:marLeft w:val="0"/>
      <w:marRight w:val="0"/>
      <w:marTop w:val="10"/>
      <w:marBottom w:val="10"/>
      <w:divBdr>
        <w:top w:val="none" w:sz="0" w:space="0" w:color="auto"/>
        <w:left w:val="none" w:sz="0" w:space="0" w:color="auto"/>
        <w:bottom w:val="none" w:sz="0" w:space="0" w:color="auto"/>
        <w:right w:val="none" w:sz="0" w:space="0" w:color="auto"/>
      </w:divBdr>
    </w:div>
    <w:div w:id="2133748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