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97E39" w14:textId="77777777" w:rsidR="000115E5" w:rsidRDefault="000115E5">
      <w:pPr>
        <w:spacing w:line="500" w:lineRule="atLeast"/>
        <w:jc w:val="center"/>
        <w:divId w:val="87508090"/>
        <w:rPr>
          <w:rFonts w:ascii="黑体" w:eastAsia="黑体" w:hAnsi="黑体"/>
          <w:sz w:val="36"/>
          <w:szCs w:val="36"/>
        </w:rPr>
      </w:pPr>
      <w:r>
        <w:rPr>
          <w:rFonts w:ascii="黑体" w:eastAsia="黑体" w:hAnsi="黑体" w:hint="eastAsia"/>
          <w:sz w:val="36"/>
          <w:szCs w:val="36"/>
        </w:rPr>
        <w:t>广东省佛山市高明区人民法院</w:t>
      </w:r>
    </w:p>
    <w:p w14:paraId="2DEC39FC" w14:textId="77777777" w:rsidR="000115E5" w:rsidRDefault="000115E5">
      <w:pPr>
        <w:spacing w:line="500" w:lineRule="atLeast"/>
        <w:jc w:val="center"/>
        <w:divId w:val="1504156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A7933F7" w14:textId="77777777" w:rsidR="000115E5" w:rsidRDefault="000115E5">
      <w:pPr>
        <w:spacing w:line="500" w:lineRule="atLeast"/>
        <w:jc w:val="right"/>
        <w:divId w:val="1223711432"/>
        <w:rPr>
          <w:rFonts w:hint="eastAsia"/>
          <w:sz w:val="30"/>
          <w:szCs w:val="30"/>
        </w:rPr>
      </w:pPr>
      <w:r>
        <w:rPr>
          <w:rFonts w:hint="eastAsia"/>
          <w:sz w:val="30"/>
          <w:szCs w:val="30"/>
        </w:rPr>
        <w:t>（</w:t>
      </w:r>
      <w:r>
        <w:rPr>
          <w:rFonts w:hint="eastAsia"/>
          <w:sz w:val="30"/>
          <w:szCs w:val="30"/>
        </w:rPr>
        <w:t>2014</w:t>
      </w:r>
      <w:r>
        <w:rPr>
          <w:rFonts w:hint="eastAsia"/>
          <w:sz w:val="30"/>
          <w:szCs w:val="30"/>
        </w:rPr>
        <w:t>）佛明法刑初字第</w:t>
      </w:r>
      <w:r>
        <w:rPr>
          <w:rFonts w:hint="eastAsia"/>
          <w:sz w:val="30"/>
          <w:szCs w:val="30"/>
        </w:rPr>
        <w:t>127</w:t>
      </w:r>
      <w:r>
        <w:rPr>
          <w:rFonts w:hint="eastAsia"/>
          <w:sz w:val="30"/>
          <w:szCs w:val="30"/>
        </w:rPr>
        <w:t>号</w:t>
      </w:r>
    </w:p>
    <w:p w14:paraId="76CB6624" w14:textId="77777777" w:rsidR="000115E5" w:rsidRDefault="000115E5">
      <w:pPr>
        <w:spacing w:line="500" w:lineRule="atLeast"/>
        <w:ind w:firstLine="600"/>
        <w:divId w:val="1600484144"/>
        <w:rPr>
          <w:rFonts w:hint="eastAsia"/>
          <w:sz w:val="30"/>
          <w:szCs w:val="30"/>
        </w:rPr>
      </w:pPr>
      <w:r>
        <w:rPr>
          <w:rFonts w:hint="eastAsia"/>
          <w:sz w:val="30"/>
          <w:szCs w:val="30"/>
        </w:rPr>
        <w:t>公诉机关广东省佛山市高明区人民检察院。</w:t>
      </w:r>
    </w:p>
    <w:p w14:paraId="741A63FE" w14:textId="77777777" w:rsidR="000115E5" w:rsidRDefault="000115E5">
      <w:pPr>
        <w:spacing w:line="500" w:lineRule="atLeast"/>
        <w:ind w:firstLine="600"/>
        <w:divId w:val="615261183"/>
        <w:rPr>
          <w:rFonts w:hint="eastAsia"/>
          <w:sz w:val="30"/>
          <w:szCs w:val="30"/>
        </w:rPr>
      </w:pPr>
      <w:r>
        <w:rPr>
          <w:rFonts w:hint="eastAsia"/>
          <w:sz w:val="30"/>
          <w:szCs w:val="30"/>
        </w:rPr>
        <w:t>被告人关健棠，男，</w:t>
      </w:r>
      <w:r>
        <w:rPr>
          <w:rFonts w:hint="eastAsia"/>
          <w:sz w:val="30"/>
          <w:szCs w:val="30"/>
        </w:rPr>
        <w:t>1972</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日出生，广东省佛山市高明区人，汉族，本科文化，原广东省佛山市高明区＊＊＊＊分局科员。因本案，于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日被取保候审，</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日被逮捕。现羁押于佛山市高明区看守所。</w:t>
      </w:r>
    </w:p>
    <w:p w14:paraId="337AFD49" w14:textId="77777777" w:rsidR="000115E5" w:rsidRDefault="000115E5">
      <w:pPr>
        <w:spacing w:line="500" w:lineRule="atLeast"/>
        <w:ind w:firstLine="600"/>
        <w:divId w:val="61756079"/>
        <w:rPr>
          <w:rFonts w:hint="eastAsia"/>
          <w:sz w:val="30"/>
          <w:szCs w:val="30"/>
        </w:rPr>
      </w:pPr>
      <w:r>
        <w:rPr>
          <w:rFonts w:hint="eastAsia"/>
          <w:sz w:val="30"/>
          <w:szCs w:val="30"/>
        </w:rPr>
        <w:t>佛山市高明区人民检察院以明检公诉刑诉（</w:t>
      </w:r>
      <w:r>
        <w:rPr>
          <w:rFonts w:hint="eastAsia"/>
          <w:sz w:val="30"/>
          <w:szCs w:val="30"/>
        </w:rPr>
        <w:t>2014</w:t>
      </w:r>
      <w:r>
        <w:rPr>
          <w:rFonts w:hint="eastAsia"/>
          <w:sz w:val="30"/>
          <w:szCs w:val="30"/>
        </w:rPr>
        <w:t>）</w:t>
      </w:r>
      <w:r>
        <w:rPr>
          <w:rFonts w:hint="eastAsia"/>
          <w:sz w:val="30"/>
          <w:szCs w:val="30"/>
        </w:rPr>
        <w:t>80</w:t>
      </w:r>
      <w:r>
        <w:rPr>
          <w:rFonts w:hint="eastAsia"/>
          <w:sz w:val="30"/>
          <w:szCs w:val="30"/>
        </w:rPr>
        <w:t>号起诉书指控被告人关健棠犯受贿罪，于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日向本院提起公诉。本院依法组成合议庭，于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日公开开庭对本案进行了审理。佛山市高明区人民检察院指派代理检察员刘崇根、冼嘉敏出庭支持公诉。被告人关健棠到庭参加诉讼。现已审理终结。</w:t>
      </w:r>
    </w:p>
    <w:p w14:paraId="1053B6A9" w14:textId="77777777" w:rsidR="000115E5" w:rsidRDefault="000115E5">
      <w:pPr>
        <w:spacing w:line="500" w:lineRule="atLeast"/>
        <w:ind w:firstLine="600"/>
        <w:divId w:val="423691287"/>
        <w:rPr>
          <w:rFonts w:hint="eastAsia"/>
          <w:sz w:val="30"/>
          <w:szCs w:val="30"/>
        </w:rPr>
      </w:pPr>
      <w:r>
        <w:rPr>
          <w:rFonts w:hint="eastAsia"/>
          <w:sz w:val="30"/>
          <w:szCs w:val="30"/>
        </w:rPr>
        <w:t>公诉机关指控：</w:t>
      </w:r>
      <w:r>
        <w:rPr>
          <w:rFonts w:hint="eastAsia"/>
          <w:sz w:val="30"/>
          <w:szCs w:val="30"/>
        </w:rPr>
        <w:t>2005</w:t>
      </w:r>
      <w:r>
        <w:rPr>
          <w:rFonts w:hint="eastAsia"/>
          <w:sz w:val="30"/>
          <w:szCs w:val="30"/>
        </w:rPr>
        <w:t>年，区某祥（已判刑）通过挂靠佛山市高明区荷城建筑工程公司的方式建设开发了佛山市高明区荷城街道＊＊＊＊商品楼。为了逃避缴纳＊＊＊＊商品楼的建筑税和水电安装税（以下简称“建安税”），区某祥找到负责审核该商品房建安税的佛山市高明区＊＊＊＊分局工作人员关健棠帮忙，并承诺给关健棠好处。在关健棠的帮助下，区某祥成功逃避缴纳建安税税款共计人民币</w:t>
      </w:r>
      <w:r>
        <w:rPr>
          <w:rFonts w:hint="eastAsia"/>
          <w:sz w:val="30"/>
          <w:szCs w:val="30"/>
        </w:rPr>
        <w:t>211333.16</w:t>
      </w:r>
      <w:r>
        <w:rPr>
          <w:rFonts w:hint="eastAsia"/>
          <w:sz w:val="30"/>
          <w:szCs w:val="30"/>
        </w:rPr>
        <w:t>元。为了感谢关健棠及日后继续得到关健棠的帮助，区某祥在</w:t>
      </w:r>
      <w:r>
        <w:rPr>
          <w:rFonts w:hint="eastAsia"/>
          <w:sz w:val="30"/>
          <w:szCs w:val="30"/>
        </w:rPr>
        <w:t>2005</w:t>
      </w:r>
      <w:r>
        <w:rPr>
          <w:rFonts w:hint="eastAsia"/>
          <w:sz w:val="30"/>
          <w:szCs w:val="30"/>
        </w:rPr>
        <w:t>年底送给关健棠好处费人民币</w:t>
      </w:r>
      <w:r>
        <w:rPr>
          <w:rFonts w:hint="eastAsia"/>
          <w:sz w:val="30"/>
          <w:szCs w:val="30"/>
        </w:rPr>
        <w:t>200000</w:t>
      </w:r>
      <w:r>
        <w:rPr>
          <w:rFonts w:hint="eastAsia"/>
          <w:sz w:val="30"/>
          <w:szCs w:val="30"/>
        </w:rPr>
        <w:t>元。现关健棠已退款人民币</w:t>
      </w:r>
      <w:r>
        <w:rPr>
          <w:rFonts w:hint="eastAsia"/>
          <w:sz w:val="30"/>
          <w:szCs w:val="30"/>
        </w:rPr>
        <w:t>23000</w:t>
      </w:r>
      <w:r>
        <w:rPr>
          <w:rFonts w:hint="eastAsia"/>
          <w:sz w:val="30"/>
          <w:szCs w:val="30"/>
        </w:rPr>
        <w:t>元。</w:t>
      </w:r>
    </w:p>
    <w:p w14:paraId="76931C66" w14:textId="77777777" w:rsidR="000115E5" w:rsidRDefault="000115E5">
      <w:pPr>
        <w:spacing w:line="500" w:lineRule="atLeast"/>
        <w:ind w:firstLine="600"/>
        <w:divId w:val="1992439743"/>
        <w:rPr>
          <w:rFonts w:hint="eastAsia"/>
          <w:sz w:val="30"/>
          <w:szCs w:val="30"/>
        </w:rPr>
      </w:pPr>
      <w:r>
        <w:rPr>
          <w:rFonts w:hint="eastAsia"/>
          <w:sz w:val="30"/>
          <w:szCs w:val="30"/>
        </w:rPr>
        <w:t>针对上述指控，公诉机关提供了被告人关健棠的供述，自首笔录，证人区某祥的证言，户籍证明，任职及升迁材料，证明书，证人区某祥的刑事判决书，退款材料，被告人关健棠、</w:t>
      </w:r>
      <w:r>
        <w:rPr>
          <w:rFonts w:hint="eastAsia"/>
          <w:sz w:val="30"/>
          <w:szCs w:val="30"/>
        </w:rPr>
        <w:lastRenderedPageBreak/>
        <w:t>证人区某祥签认的相关材料，被告人关健棠的相关银行流水及交易单据、视听资料等证据。</w:t>
      </w:r>
    </w:p>
    <w:p w14:paraId="04B57F4D" w14:textId="77777777" w:rsidR="000115E5" w:rsidRDefault="000115E5">
      <w:pPr>
        <w:spacing w:line="500" w:lineRule="atLeast"/>
        <w:ind w:firstLine="600"/>
        <w:divId w:val="1097091532"/>
        <w:rPr>
          <w:rFonts w:hint="eastAsia"/>
          <w:sz w:val="30"/>
          <w:szCs w:val="30"/>
        </w:rPr>
      </w:pPr>
      <w:r>
        <w:rPr>
          <w:rFonts w:hint="eastAsia"/>
          <w:sz w:val="30"/>
          <w:szCs w:val="30"/>
        </w:rPr>
        <w:t>公诉机关认为，被告人关健棠无视国家法律，身为国家工作人员，利用职务上的便利非法收受他人财物，共计人民币</w:t>
      </w:r>
      <w:r>
        <w:rPr>
          <w:rFonts w:hint="eastAsia"/>
          <w:sz w:val="30"/>
          <w:szCs w:val="30"/>
        </w:rPr>
        <w:t>200000</w:t>
      </w:r>
      <w:r>
        <w:rPr>
          <w:rFonts w:hint="eastAsia"/>
          <w:sz w:val="30"/>
          <w:szCs w:val="30"/>
        </w:rPr>
        <w:t>元，其行为已触犯《中华人民共和国刑法》第三百八十五条第一款、第三百八十六条、第三百八十三条第一款第（一）项的规定，应当以受贿罪追究其刑事责任。提请本院依法判处。</w:t>
      </w:r>
    </w:p>
    <w:p w14:paraId="41E16565" w14:textId="77777777" w:rsidR="000115E5" w:rsidRDefault="000115E5">
      <w:pPr>
        <w:spacing w:line="500" w:lineRule="atLeast"/>
        <w:ind w:firstLine="600"/>
        <w:divId w:val="1069039788"/>
        <w:rPr>
          <w:rFonts w:hint="eastAsia"/>
          <w:sz w:val="30"/>
          <w:szCs w:val="30"/>
        </w:rPr>
      </w:pPr>
      <w:r>
        <w:rPr>
          <w:rFonts w:hint="eastAsia"/>
          <w:sz w:val="30"/>
          <w:szCs w:val="30"/>
        </w:rPr>
        <w:t>被告人关健棠对公诉机关指控的犯罪事实及罪名均没有异议，当庭认罪。</w:t>
      </w:r>
    </w:p>
    <w:p w14:paraId="7EFBA4E9" w14:textId="77777777" w:rsidR="000115E5" w:rsidRDefault="000115E5">
      <w:pPr>
        <w:spacing w:line="500" w:lineRule="atLeast"/>
        <w:ind w:firstLine="600"/>
        <w:divId w:val="262493980"/>
        <w:rPr>
          <w:rFonts w:hint="eastAsia"/>
          <w:sz w:val="30"/>
          <w:szCs w:val="30"/>
        </w:rPr>
      </w:pPr>
      <w:r>
        <w:rPr>
          <w:rFonts w:hint="eastAsia"/>
          <w:sz w:val="30"/>
          <w:szCs w:val="30"/>
        </w:rPr>
        <w:t>经审理查明：公诉机关指控被告人关健棠犯受贿罪的事实清楚，证据确实、充分，本院予以确认。</w:t>
      </w:r>
    </w:p>
    <w:p w14:paraId="16F27AF4" w14:textId="77777777" w:rsidR="000115E5" w:rsidRDefault="000115E5">
      <w:pPr>
        <w:spacing w:line="500" w:lineRule="atLeast"/>
        <w:ind w:firstLine="600"/>
        <w:divId w:val="1582056600"/>
        <w:rPr>
          <w:rFonts w:hint="eastAsia"/>
          <w:sz w:val="30"/>
          <w:szCs w:val="30"/>
        </w:rPr>
      </w:pPr>
      <w:r>
        <w:rPr>
          <w:rFonts w:hint="eastAsia"/>
          <w:sz w:val="30"/>
          <w:szCs w:val="30"/>
        </w:rPr>
        <w:t>另查明：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日，被告人关健棠主动到佛山市高明区人民检察院投案，并如实供述共收受区某祥好处费</w:t>
      </w:r>
      <w:r>
        <w:rPr>
          <w:rFonts w:hint="eastAsia"/>
          <w:sz w:val="30"/>
          <w:szCs w:val="30"/>
        </w:rPr>
        <w:t>200000</w:t>
      </w:r>
      <w:r>
        <w:rPr>
          <w:rFonts w:hint="eastAsia"/>
          <w:sz w:val="30"/>
          <w:szCs w:val="30"/>
        </w:rPr>
        <w:t>元的事实。</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日，佛山市高明区人民检察院以关健棠涉嫌犯受贿罪对其立案侦查。</w:t>
      </w:r>
    </w:p>
    <w:p w14:paraId="6F63A34D" w14:textId="77777777" w:rsidR="000115E5" w:rsidRDefault="000115E5">
      <w:pPr>
        <w:spacing w:line="500" w:lineRule="atLeast"/>
        <w:ind w:firstLine="600"/>
        <w:divId w:val="650450011"/>
        <w:rPr>
          <w:rFonts w:hint="eastAsia"/>
          <w:sz w:val="30"/>
          <w:szCs w:val="30"/>
        </w:rPr>
      </w:pPr>
      <w:r>
        <w:rPr>
          <w:rFonts w:hint="eastAsia"/>
          <w:sz w:val="30"/>
          <w:szCs w:val="30"/>
        </w:rPr>
        <w:t>本院认为，被告人关健棠无视国家法律，身为国家工作人员，利用职务上的便利非法收受他人财物，共计人民币</w:t>
      </w:r>
      <w:r>
        <w:rPr>
          <w:rFonts w:hint="eastAsia"/>
          <w:sz w:val="30"/>
          <w:szCs w:val="30"/>
        </w:rPr>
        <w:t>200000</w:t>
      </w:r>
      <w:r>
        <w:rPr>
          <w:rFonts w:hint="eastAsia"/>
          <w:sz w:val="30"/>
          <w:szCs w:val="30"/>
        </w:rPr>
        <w:t>元，其行为已构成受贿罪。公诉机关指控被告人关健棠犯受贿罪的事实清楚、证据确实充分，罪名成立。被告人关健棠主动向侦查机关投案，并如实向侦查机关交代自己的罪行，是自首，故本院依法对其减轻处罚。被告人关健棠积极退回了部分赃款，故本院酌定对其从轻处罚。被告人关健棠的犯罪所得赃款人民币</w:t>
      </w:r>
      <w:r>
        <w:rPr>
          <w:rFonts w:hint="eastAsia"/>
          <w:sz w:val="30"/>
          <w:szCs w:val="30"/>
        </w:rPr>
        <w:t>200000</w:t>
      </w:r>
      <w:r>
        <w:rPr>
          <w:rFonts w:hint="eastAsia"/>
          <w:sz w:val="30"/>
          <w:szCs w:val="30"/>
        </w:rPr>
        <w:t>元，依法应当予以没收。综上，依照《中华人民共和国刑法》第三百八十五条第一款、第三百八十六条、第三百八十三条第一款第（一）项、第六十七条第一款、第六十四条之规定，判决如下：</w:t>
      </w:r>
    </w:p>
    <w:p w14:paraId="5C7CB7CF" w14:textId="77777777" w:rsidR="000115E5" w:rsidRDefault="000115E5">
      <w:pPr>
        <w:spacing w:line="500" w:lineRule="atLeast"/>
        <w:ind w:firstLine="600"/>
        <w:divId w:val="1900167662"/>
        <w:rPr>
          <w:rFonts w:hint="eastAsia"/>
          <w:sz w:val="30"/>
          <w:szCs w:val="30"/>
        </w:rPr>
      </w:pPr>
      <w:r>
        <w:rPr>
          <w:rFonts w:hint="eastAsia"/>
          <w:sz w:val="30"/>
          <w:szCs w:val="30"/>
        </w:rPr>
        <w:t>一、被告人关健棠犯受贿罪，判处有期徒刑五年；</w:t>
      </w:r>
    </w:p>
    <w:p w14:paraId="37A45D56" w14:textId="77777777" w:rsidR="000115E5" w:rsidRDefault="000115E5">
      <w:pPr>
        <w:spacing w:line="500" w:lineRule="atLeast"/>
        <w:ind w:firstLine="600"/>
        <w:divId w:val="173738907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日止）。</w:t>
      </w:r>
    </w:p>
    <w:p w14:paraId="379D7D9D" w14:textId="77777777" w:rsidR="000115E5" w:rsidRDefault="000115E5">
      <w:pPr>
        <w:spacing w:line="500" w:lineRule="atLeast"/>
        <w:ind w:firstLine="600"/>
        <w:divId w:val="1124885751"/>
        <w:rPr>
          <w:rFonts w:hint="eastAsia"/>
          <w:sz w:val="30"/>
          <w:szCs w:val="30"/>
        </w:rPr>
      </w:pPr>
      <w:r>
        <w:rPr>
          <w:rFonts w:hint="eastAsia"/>
          <w:sz w:val="30"/>
          <w:szCs w:val="30"/>
        </w:rPr>
        <w:t>二、将被告人关健棠退回的赃款人民币</w:t>
      </w:r>
      <w:r>
        <w:rPr>
          <w:rFonts w:hint="eastAsia"/>
          <w:sz w:val="30"/>
          <w:szCs w:val="30"/>
        </w:rPr>
        <w:t>23000</w:t>
      </w:r>
      <w:r>
        <w:rPr>
          <w:rFonts w:hint="eastAsia"/>
          <w:sz w:val="30"/>
          <w:szCs w:val="30"/>
        </w:rPr>
        <w:t>元予以没收，上缴国库；对其余所得赃款人民币</w:t>
      </w:r>
      <w:r>
        <w:rPr>
          <w:rFonts w:hint="eastAsia"/>
          <w:sz w:val="30"/>
          <w:szCs w:val="30"/>
        </w:rPr>
        <w:t>177000</w:t>
      </w:r>
      <w:r>
        <w:rPr>
          <w:rFonts w:hint="eastAsia"/>
          <w:sz w:val="30"/>
          <w:szCs w:val="30"/>
        </w:rPr>
        <w:t>元继续予以追缴。</w:t>
      </w:r>
    </w:p>
    <w:p w14:paraId="2FE8D3EA" w14:textId="77777777" w:rsidR="000115E5" w:rsidRDefault="000115E5">
      <w:pPr>
        <w:spacing w:line="500" w:lineRule="atLeast"/>
        <w:ind w:firstLine="600"/>
        <w:divId w:val="1892309119"/>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121696B8" w14:textId="77777777" w:rsidR="000115E5" w:rsidRDefault="000115E5">
      <w:pPr>
        <w:spacing w:line="500" w:lineRule="atLeast"/>
        <w:jc w:val="right"/>
        <w:divId w:val="458230630"/>
        <w:rPr>
          <w:rFonts w:hint="eastAsia"/>
          <w:sz w:val="30"/>
          <w:szCs w:val="30"/>
        </w:rPr>
      </w:pPr>
      <w:r>
        <w:rPr>
          <w:rFonts w:hint="eastAsia"/>
          <w:sz w:val="30"/>
          <w:szCs w:val="30"/>
        </w:rPr>
        <w:t>审　判　长　　仇文华</w:t>
      </w:r>
    </w:p>
    <w:p w14:paraId="07A0DB1A" w14:textId="77777777" w:rsidR="000115E5" w:rsidRDefault="000115E5">
      <w:pPr>
        <w:spacing w:line="500" w:lineRule="atLeast"/>
        <w:jc w:val="right"/>
        <w:divId w:val="1500846882"/>
        <w:rPr>
          <w:rFonts w:hint="eastAsia"/>
          <w:sz w:val="30"/>
          <w:szCs w:val="30"/>
        </w:rPr>
      </w:pPr>
      <w:r>
        <w:rPr>
          <w:rFonts w:hint="eastAsia"/>
          <w:sz w:val="30"/>
          <w:szCs w:val="30"/>
        </w:rPr>
        <w:t>审　判　员　　关燕霞</w:t>
      </w:r>
    </w:p>
    <w:p w14:paraId="41022825" w14:textId="77777777" w:rsidR="000115E5" w:rsidRDefault="000115E5">
      <w:pPr>
        <w:spacing w:line="500" w:lineRule="atLeast"/>
        <w:jc w:val="right"/>
        <w:divId w:val="50348884"/>
        <w:rPr>
          <w:rFonts w:hint="eastAsia"/>
          <w:sz w:val="30"/>
          <w:szCs w:val="30"/>
        </w:rPr>
      </w:pPr>
      <w:r>
        <w:rPr>
          <w:rFonts w:hint="eastAsia"/>
          <w:sz w:val="30"/>
          <w:szCs w:val="30"/>
        </w:rPr>
        <w:t>人民陪审员　　李永雄</w:t>
      </w:r>
    </w:p>
    <w:p w14:paraId="0ACAFA06" w14:textId="77777777" w:rsidR="000115E5" w:rsidRDefault="000115E5">
      <w:pPr>
        <w:spacing w:line="500" w:lineRule="atLeast"/>
        <w:jc w:val="right"/>
        <w:divId w:val="309940032"/>
        <w:rPr>
          <w:rFonts w:hint="eastAsia"/>
          <w:sz w:val="30"/>
          <w:szCs w:val="30"/>
        </w:rPr>
      </w:pPr>
      <w:r>
        <w:rPr>
          <w:rFonts w:hint="eastAsia"/>
          <w:sz w:val="30"/>
          <w:szCs w:val="30"/>
        </w:rPr>
        <w:t>二〇一四年四月二十二日</w:t>
      </w:r>
    </w:p>
    <w:p w14:paraId="27E65ED8" w14:textId="77777777" w:rsidR="000115E5" w:rsidRDefault="000115E5">
      <w:pPr>
        <w:spacing w:line="500" w:lineRule="atLeast"/>
        <w:jc w:val="right"/>
        <w:divId w:val="1994064668"/>
        <w:rPr>
          <w:rFonts w:hint="eastAsia"/>
          <w:sz w:val="30"/>
          <w:szCs w:val="30"/>
        </w:rPr>
      </w:pPr>
      <w:r>
        <w:rPr>
          <w:rFonts w:hint="eastAsia"/>
          <w:sz w:val="30"/>
          <w:szCs w:val="30"/>
        </w:rPr>
        <w:t>书　记　员　　何紫嫣</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7B13D" w14:textId="77777777" w:rsidR="000115E5" w:rsidRDefault="000115E5" w:rsidP="000115E5">
      <w:pPr>
        <w:rPr>
          <w:rFonts w:hint="eastAsia"/>
        </w:rPr>
      </w:pPr>
      <w:r>
        <w:separator/>
      </w:r>
    </w:p>
  </w:endnote>
  <w:endnote w:type="continuationSeparator" w:id="0">
    <w:p w14:paraId="702A7964" w14:textId="77777777" w:rsidR="000115E5" w:rsidRDefault="000115E5" w:rsidP="000115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9607A" w14:textId="77777777" w:rsidR="000115E5" w:rsidRDefault="000115E5" w:rsidP="000115E5">
      <w:pPr>
        <w:rPr>
          <w:rFonts w:hint="eastAsia"/>
        </w:rPr>
      </w:pPr>
      <w:r>
        <w:separator/>
      </w:r>
    </w:p>
  </w:footnote>
  <w:footnote w:type="continuationSeparator" w:id="0">
    <w:p w14:paraId="0452EEC3" w14:textId="77777777" w:rsidR="000115E5" w:rsidRDefault="000115E5" w:rsidP="000115E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115E5"/>
    <w:rsid w:val="000115E5"/>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ADD90E"/>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115E5"/>
    <w:pPr>
      <w:tabs>
        <w:tab w:val="center" w:pos="4153"/>
        <w:tab w:val="right" w:pos="8306"/>
      </w:tabs>
      <w:snapToGrid w:val="0"/>
      <w:jc w:val="center"/>
    </w:pPr>
    <w:rPr>
      <w:sz w:val="18"/>
      <w:szCs w:val="18"/>
    </w:rPr>
  </w:style>
  <w:style w:type="character" w:customStyle="1" w:styleId="a4">
    <w:name w:val="页眉 字符"/>
    <w:basedOn w:val="a0"/>
    <w:link w:val="a3"/>
    <w:uiPriority w:val="99"/>
    <w:rsid w:val="000115E5"/>
    <w:rPr>
      <w:rFonts w:ascii="宋体" w:eastAsia="宋体" w:hAnsi="宋体" w:cs="宋体"/>
      <w:sz w:val="18"/>
      <w:szCs w:val="18"/>
    </w:rPr>
  </w:style>
  <w:style w:type="paragraph" w:styleId="a5">
    <w:name w:val="footer"/>
    <w:basedOn w:val="a"/>
    <w:link w:val="a6"/>
    <w:uiPriority w:val="99"/>
    <w:unhideWhenUsed/>
    <w:rsid w:val="000115E5"/>
    <w:pPr>
      <w:tabs>
        <w:tab w:val="center" w:pos="4153"/>
        <w:tab w:val="right" w:pos="8306"/>
      </w:tabs>
      <w:snapToGrid w:val="0"/>
    </w:pPr>
    <w:rPr>
      <w:sz w:val="18"/>
      <w:szCs w:val="18"/>
    </w:rPr>
  </w:style>
  <w:style w:type="character" w:customStyle="1" w:styleId="a6">
    <w:name w:val="页脚 字符"/>
    <w:basedOn w:val="a0"/>
    <w:link w:val="a5"/>
    <w:uiPriority w:val="99"/>
    <w:rsid w:val="000115E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48884">
      <w:marLeft w:val="0"/>
      <w:marRight w:val="720"/>
      <w:marTop w:val="10"/>
      <w:marBottom w:val="10"/>
      <w:divBdr>
        <w:top w:val="none" w:sz="0" w:space="0" w:color="auto"/>
        <w:left w:val="none" w:sz="0" w:space="0" w:color="auto"/>
        <w:bottom w:val="none" w:sz="0" w:space="0" w:color="auto"/>
        <w:right w:val="none" w:sz="0" w:space="0" w:color="auto"/>
      </w:divBdr>
    </w:div>
    <w:div w:id="61756079">
      <w:marLeft w:val="0"/>
      <w:marRight w:val="0"/>
      <w:marTop w:val="10"/>
      <w:marBottom w:val="10"/>
      <w:divBdr>
        <w:top w:val="none" w:sz="0" w:space="0" w:color="auto"/>
        <w:left w:val="none" w:sz="0" w:space="0" w:color="auto"/>
        <w:bottom w:val="none" w:sz="0" w:space="0" w:color="auto"/>
        <w:right w:val="none" w:sz="0" w:space="0" w:color="auto"/>
      </w:divBdr>
    </w:div>
    <w:div w:id="87508090">
      <w:marLeft w:val="0"/>
      <w:marRight w:val="0"/>
      <w:marTop w:val="10"/>
      <w:marBottom w:val="10"/>
      <w:divBdr>
        <w:top w:val="none" w:sz="0" w:space="0" w:color="auto"/>
        <w:left w:val="none" w:sz="0" w:space="0" w:color="auto"/>
        <w:bottom w:val="none" w:sz="0" w:space="0" w:color="auto"/>
        <w:right w:val="none" w:sz="0" w:space="0" w:color="auto"/>
      </w:divBdr>
    </w:div>
    <w:div w:id="150415671">
      <w:marLeft w:val="0"/>
      <w:marRight w:val="0"/>
      <w:marTop w:val="10"/>
      <w:marBottom w:val="10"/>
      <w:divBdr>
        <w:top w:val="none" w:sz="0" w:space="0" w:color="auto"/>
        <w:left w:val="none" w:sz="0" w:space="0" w:color="auto"/>
        <w:bottom w:val="none" w:sz="0" w:space="0" w:color="auto"/>
        <w:right w:val="none" w:sz="0" w:space="0" w:color="auto"/>
      </w:divBdr>
    </w:div>
    <w:div w:id="262493980">
      <w:marLeft w:val="0"/>
      <w:marRight w:val="0"/>
      <w:marTop w:val="10"/>
      <w:marBottom w:val="10"/>
      <w:divBdr>
        <w:top w:val="none" w:sz="0" w:space="0" w:color="auto"/>
        <w:left w:val="none" w:sz="0" w:space="0" w:color="auto"/>
        <w:bottom w:val="none" w:sz="0" w:space="0" w:color="auto"/>
        <w:right w:val="none" w:sz="0" w:space="0" w:color="auto"/>
      </w:divBdr>
    </w:div>
    <w:div w:id="309940032">
      <w:marLeft w:val="0"/>
      <w:marRight w:val="720"/>
      <w:marTop w:val="10"/>
      <w:marBottom w:val="10"/>
      <w:divBdr>
        <w:top w:val="none" w:sz="0" w:space="0" w:color="auto"/>
        <w:left w:val="none" w:sz="0" w:space="0" w:color="auto"/>
        <w:bottom w:val="none" w:sz="0" w:space="0" w:color="auto"/>
        <w:right w:val="none" w:sz="0" w:space="0" w:color="auto"/>
      </w:divBdr>
    </w:div>
    <w:div w:id="423691287">
      <w:marLeft w:val="0"/>
      <w:marRight w:val="0"/>
      <w:marTop w:val="10"/>
      <w:marBottom w:val="10"/>
      <w:divBdr>
        <w:top w:val="none" w:sz="0" w:space="0" w:color="auto"/>
        <w:left w:val="none" w:sz="0" w:space="0" w:color="auto"/>
        <w:bottom w:val="none" w:sz="0" w:space="0" w:color="auto"/>
        <w:right w:val="none" w:sz="0" w:space="0" w:color="auto"/>
      </w:divBdr>
    </w:div>
    <w:div w:id="458230630">
      <w:marLeft w:val="0"/>
      <w:marRight w:val="720"/>
      <w:marTop w:val="10"/>
      <w:marBottom w:val="10"/>
      <w:divBdr>
        <w:top w:val="none" w:sz="0" w:space="0" w:color="auto"/>
        <w:left w:val="none" w:sz="0" w:space="0" w:color="auto"/>
        <w:bottom w:val="none" w:sz="0" w:space="0" w:color="auto"/>
        <w:right w:val="none" w:sz="0" w:space="0" w:color="auto"/>
      </w:divBdr>
    </w:div>
    <w:div w:id="615261183">
      <w:marLeft w:val="0"/>
      <w:marRight w:val="0"/>
      <w:marTop w:val="10"/>
      <w:marBottom w:val="10"/>
      <w:divBdr>
        <w:top w:val="none" w:sz="0" w:space="0" w:color="auto"/>
        <w:left w:val="none" w:sz="0" w:space="0" w:color="auto"/>
        <w:bottom w:val="none" w:sz="0" w:space="0" w:color="auto"/>
        <w:right w:val="none" w:sz="0" w:space="0" w:color="auto"/>
      </w:divBdr>
    </w:div>
    <w:div w:id="650450011">
      <w:marLeft w:val="0"/>
      <w:marRight w:val="0"/>
      <w:marTop w:val="10"/>
      <w:marBottom w:val="10"/>
      <w:divBdr>
        <w:top w:val="none" w:sz="0" w:space="0" w:color="auto"/>
        <w:left w:val="none" w:sz="0" w:space="0" w:color="auto"/>
        <w:bottom w:val="none" w:sz="0" w:space="0" w:color="auto"/>
        <w:right w:val="none" w:sz="0" w:space="0" w:color="auto"/>
      </w:divBdr>
    </w:div>
    <w:div w:id="1069039788">
      <w:marLeft w:val="0"/>
      <w:marRight w:val="0"/>
      <w:marTop w:val="10"/>
      <w:marBottom w:val="10"/>
      <w:divBdr>
        <w:top w:val="none" w:sz="0" w:space="0" w:color="auto"/>
        <w:left w:val="none" w:sz="0" w:space="0" w:color="auto"/>
        <w:bottom w:val="none" w:sz="0" w:space="0" w:color="auto"/>
        <w:right w:val="none" w:sz="0" w:space="0" w:color="auto"/>
      </w:divBdr>
    </w:div>
    <w:div w:id="1097091532">
      <w:marLeft w:val="0"/>
      <w:marRight w:val="0"/>
      <w:marTop w:val="10"/>
      <w:marBottom w:val="10"/>
      <w:divBdr>
        <w:top w:val="none" w:sz="0" w:space="0" w:color="auto"/>
        <w:left w:val="none" w:sz="0" w:space="0" w:color="auto"/>
        <w:bottom w:val="none" w:sz="0" w:space="0" w:color="auto"/>
        <w:right w:val="none" w:sz="0" w:space="0" w:color="auto"/>
      </w:divBdr>
    </w:div>
    <w:div w:id="1124885751">
      <w:marLeft w:val="0"/>
      <w:marRight w:val="0"/>
      <w:marTop w:val="10"/>
      <w:marBottom w:val="10"/>
      <w:divBdr>
        <w:top w:val="none" w:sz="0" w:space="0" w:color="auto"/>
        <w:left w:val="none" w:sz="0" w:space="0" w:color="auto"/>
        <w:bottom w:val="none" w:sz="0" w:space="0" w:color="auto"/>
        <w:right w:val="none" w:sz="0" w:space="0" w:color="auto"/>
      </w:divBdr>
    </w:div>
    <w:div w:id="1223711432">
      <w:marLeft w:val="0"/>
      <w:marRight w:val="0"/>
      <w:marTop w:val="10"/>
      <w:marBottom w:val="10"/>
      <w:divBdr>
        <w:top w:val="none" w:sz="0" w:space="0" w:color="auto"/>
        <w:left w:val="none" w:sz="0" w:space="0" w:color="auto"/>
        <w:bottom w:val="none" w:sz="0" w:space="0" w:color="auto"/>
        <w:right w:val="none" w:sz="0" w:space="0" w:color="auto"/>
      </w:divBdr>
    </w:div>
    <w:div w:id="1500846882">
      <w:marLeft w:val="0"/>
      <w:marRight w:val="720"/>
      <w:marTop w:val="10"/>
      <w:marBottom w:val="10"/>
      <w:divBdr>
        <w:top w:val="none" w:sz="0" w:space="0" w:color="auto"/>
        <w:left w:val="none" w:sz="0" w:space="0" w:color="auto"/>
        <w:bottom w:val="none" w:sz="0" w:space="0" w:color="auto"/>
        <w:right w:val="none" w:sz="0" w:space="0" w:color="auto"/>
      </w:divBdr>
    </w:div>
    <w:div w:id="1582056600">
      <w:marLeft w:val="0"/>
      <w:marRight w:val="0"/>
      <w:marTop w:val="10"/>
      <w:marBottom w:val="10"/>
      <w:divBdr>
        <w:top w:val="none" w:sz="0" w:space="0" w:color="auto"/>
        <w:left w:val="none" w:sz="0" w:space="0" w:color="auto"/>
        <w:bottom w:val="none" w:sz="0" w:space="0" w:color="auto"/>
        <w:right w:val="none" w:sz="0" w:space="0" w:color="auto"/>
      </w:divBdr>
    </w:div>
    <w:div w:id="1600484144">
      <w:marLeft w:val="0"/>
      <w:marRight w:val="0"/>
      <w:marTop w:val="10"/>
      <w:marBottom w:val="10"/>
      <w:divBdr>
        <w:top w:val="none" w:sz="0" w:space="0" w:color="auto"/>
        <w:left w:val="none" w:sz="0" w:space="0" w:color="auto"/>
        <w:bottom w:val="none" w:sz="0" w:space="0" w:color="auto"/>
        <w:right w:val="none" w:sz="0" w:space="0" w:color="auto"/>
      </w:divBdr>
    </w:div>
    <w:div w:id="1737389076">
      <w:marLeft w:val="0"/>
      <w:marRight w:val="0"/>
      <w:marTop w:val="10"/>
      <w:marBottom w:val="10"/>
      <w:divBdr>
        <w:top w:val="none" w:sz="0" w:space="0" w:color="auto"/>
        <w:left w:val="none" w:sz="0" w:space="0" w:color="auto"/>
        <w:bottom w:val="none" w:sz="0" w:space="0" w:color="auto"/>
        <w:right w:val="none" w:sz="0" w:space="0" w:color="auto"/>
      </w:divBdr>
    </w:div>
    <w:div w:id="1892309119">
      <w:marLeft w:val="0"/>
      <w:marRight w:val="0"/>
      <w:marTop w:val="10"/>
      <w:marBottom w:val="10"/>
      <w:divBdr>
        <w:top w:val="none" w:sz="0" w:space="0" w:color="auto"/>
        <w:left w:val="none" w:sz="0" w:space="0" w:color="auto"/>
        <w:bottom w:val="none" w:sz="0" w:space="0" w:color="auto"/>
        <w:right w:val="none" w:sz="0" w:space="0" w:color="auto"/>
      </w:divBdr>
    </w:div>
    <w:div w:id="1900167662">
      <w:marLeft w:val="0"/>
      <w:marRight w:val="0"/>
      <w:marTop w:val="10"/>
      <w:marBottom w:val="10"/>
      <w:divBdr>
        <w:top w:val="none" w:sz="0" w:space="0" w:color="auto"/>
        <w:left w:val="none" w:sz="0" w:space="0" w:color="auto"/>
        <w:bottom w:val="none" w:sz="0" w:space="0" w:color="auto"/>
        <w:right w:val="none" w:sz="0" w:space="0" w:color="auto"/>
      </w:divBdr>
    </w:div>
    <w:div w:id="1992439743">
      <w:marLeft w:val="0"/>
      <w:marRight w:val="0"/>
      <w:marTop w:val="10"/>
      <w:marBottom w:val="10"/>
      <w:divBdr>
        <w:top w:val="none" w:sz="0" w:space="0" w:color="auto"/>
        <w:left w:val="none" w:sz="0" w:space="0" w:color="auto"/>
        <w:bottom w:val="none" w:sz="0" w:space="0" w:color="auto"/>
        <w:right w:val="none" w:sz="0" w:space="0" w:color="auto"/>
      </w:divBdr>
    </w:div>
    <w:div w:id="1994064668">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234</Words>
  <Characters>1337</Characters>
  <Application>Microsoft Office Word</Application>
  <DocSecurity>0</DocSecurity>
  <Lines>11</Lines>
  <Paragraphs>3</Paragraphs>
  <ScaleCrop>false</ScaleCrop>
  <Company/>
  <LinksUpToDate>false</LinksUpToDate>
  <CharactersWithSpaces>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2025-04-30T03:21:00Z</dcterms:created>
  <dcterms:modified xsi:type="dcterms:W3CDTF">2025-04-30T03:21:00Z</dcterms:modified>
</cp:coreProperties>
</file>