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C3F7" w14:textId="77777777" w:rsidR="0087526A" w:rsidRDefault="0087526A">
      <w:pPr>
        <w:spacing w:line="500" w:lineRule="atLeast"/>
        <w:jc w:val="center"/>
        <w:divId w:val="865099701"/>
        <w:rPr>
          <w:rFonts w:ascii="黑体" w:eastAsia="黑体" w:hAnsi="黑体"/>
          <w:sz w:val="36"/>
          <w:szCs w:val="36"/>
        </w:rPr>
      </w:pPr>
      <w:r>
        <w:rPr>
          <w:rFonts w:ascii="黑体" w:eastAsia="黑体" w:hAnsi="黑体" w:hint="eastAsia"/>
          <w:sz w:val="36"/>
          <w:szCs w:val="36"/>
        </w:rPr>
        <w:t>广东省中山市第一人民法院</w:t>
      </w:r>
    </w:p>
    <w:p w14:paraId="5BA89F4A" w14:textId="77777777" w:rsidR="0087526A" w:rsidRDefault="0087526A">
      <w:pPr>
        <w:spacing w:line="500" w:lineRule="atLeast"/>
        <w:jc w:val="center"/>
        <w:divId w:val="14310468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F3BB70" w14:textId="77777777" w:rsidR="0087526A" w:rsidRDefault="0087526A">
      <w:pPr>
        <w:spacing w:line="500" w:lineRule="atLeast"/>
        <w:jc w:val="right"/>
        <w:divId w:val="11319434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2096</w:t>
      </w:r>
      <w:r>
        <w:rPr>
          <w:rFonts w:hint="eastAsia"/>
          <w:sz w:val="30"/>
          <w:szCs w:val="30"/>
        </w:rPr>
        <w:t>号</w:t>
      </w:r>
    </w:p>
    <w:p w14:paraId="176AA490" w14:textId="77777777" w:rsidR="0087526A" w:rsidRDefault="0087526A">
      <w:pPr>
        <w:spacing w:line="500" w:lineRule="atLeast"/>
        <w:ind w:firstLine="600"/>
        <w:divId w:val="2121681774"/>
        <w:rPr>
          <w:rFonts w:hint="eastAsia"/>
          <w:sz w:val="30"/>
          <w:szCs w:val="30"/>
        </w:rPr>
      </w:pPr>
      <w:r>
        <w:rPr>
          <w:rFonts w:hint="eastAsia"/>
          <w:sz w:val="30"/>
          <w:szCs w:val="30"/>
        </w:rPr>
        <w:t>公诉机关中山市第一市区人民检察院。</w:t>
      </w:r>
    </w:p>
    <w:p w14:paraId="7137D8F0" w14:textId="77777777" w:rsidR="0087526A" w:rsidRDefault="0087526A">
      <w:pPr>
        <w:spacing w:line="500" w:lineRule="atLeast"/>
        <w:ind w:firstLine="600"/>
        <w:divId w:val="1707172603"/>
        <w:rPr>
          <w:rFonts w:hint="eastAsia"/>
          <w:sz w:val="30"/>
          <w:szCs w:val="30"/>
        </w:rPr>
      </w:pPr>
      <w:r>
        <w:rPr>
          <w:rFonts w:hint="eastAsia"/>
          <w:sz w:val="30"/>
          <w:szCs w:val="30"/>
        </w:rPr>
        <w:t>被告人刘照才，男，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日出生于广东省南雄市，汉族，大学文化，原系广东省中山国防教育训练基地主任，户籍所在地中山市东区。因本案于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日被中山市人民检察院刑事拘留，同年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日被逮捕。现押于中山市看守所。</w:t>
      </w:r>
    </w:p>
    <w:p w14:paraId="068A6AF9" w14:textId="77777777" w:rsidR="0087526A" w:rsidRDefault="0087526A">
      <w:pPr>
        <w:spacing w:line="500" w:lineRule="atLeast"/>
        <w:ind w:firstLine="600"/>
        <w:divId w:val="1492452746"/>
        <w:rPr>
          <w:rFonts w:hint="eastAsia"/>
          <w:sz w:val="30"/>
          <w:szCs w:val="30"/>
        </w:rPr>
      </w:pPr>
      <w:r>
        <w:rPr>
          <w:rFonts w:hint="eastAsia"/>
          <w:sz w:val="30"/>
          <w:szCs w:val="30"/>
        </w:rPr>
        <w:t>辩护人谢东萍、肖和平，广东凡是律师事务所律师。</w:t>
      </w:r>
    </w:p>
    <w:p w14:paraId="073688A2" w14:textId="77777777" w:rsidR="0087526A" w:rsidRDefault="0087526A">
      <w:pPr>
        <w:spacing w:line="500" w:lineRule="atLeast"/>
        <w:ind w:firstLine="600"/>
        <w:divId w:val="116683388"/>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2069</w:t>
      </w:r>
      <w:r>
        <w:rPr>
          <w:rFonts w:hint="eastAsia"/>
          <w:sz w:val="30"/>
          <w:szCs w:val="30"/>
        </w:rPr>
        <w:t>号起诉书指控被告人刘照才犯挪用公款罪，于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日公开开庭审理了本案。中山市第一市区人民检察院指派代理检察员陈保生出庭支持公诉，被告人刘照才及其辩护人谢东萍到庭参加诉讼。现已审理终结。</w:t>
      </w:r>
    </w:p>
    <w:p w14:paraId="52246ED7" w14:textId="77777777" w:rsidR="0087526A" w:rsidRDefault="0087526A">
      <w:pPr>
        <w:spacing w:line="500" w:lineRule="atLeast"/>
        <w:ind w:firstLine="600"/>
        <w:divId w:val="645278876"/>
        <w:rPr>
          <w:rFonts w:hint="eastAsia"/>
          <w:sz w:val="30"/>
          <w:szCs w:val="30"/>
        </w:rPr>
      </w:pPr>
      <w:r>
        <w:rPr>
          <w:rFonts w:hint="eastAsia"/>
          <w:sz w:val="30"/>
          <w:szCs w:val="30"/>
        </w:rPr>
        <w:t>中山市第一市区人民检察院指控，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年，被告人刘照才利用担任广东省中山国防教育训练基地主任的职务之便，挪用梁某支付给中山国防教育训练基地的培训费人民币</w:t>
      </w:r>
      <w:r>
        <w:rPr>
          <w:rFonts w:hint="eastAsia"/>
          <w:sz w:val="30"/>
          <w:szCs w:val="30"/>
        </w:rPr>
        <w:t>683.8</w:t>
      </w:r>
      <w:r>
        <w:rPr>
          <w:rFonts w:hint="eastAsia"/>
          <w:sz w:val="30"/>
          <w:szCs w:val="30"/>
        </w:rPr>
        <w:t>万元，用于承包经营碎石场及水电站。因经营不善，严重亏损，致使公款人民币</w:t>
      </w:r>
      <w:r>
        <w:rPr>
          <w:rFonts w:hint="eastAsia"/>
          <w:sz w:val="30"/>
          <w:szCs w:val="30"/>
        </w:rPr>
        <w:t>559.8</w:t>
      </w:r>
      <w:r>
        <w:rPr>
          <w:rFonts w:hint="eastAsia"/>
          <w:sz w:val="30"/>
          <w:szCs w:val="30"/>
        </w:rPr>
        <w:t>万元至今未归还。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刘照才到中山市人民检察院投案并如实供述了上述犯罪事实。公诉机关提供了归案经过、书证、证人证言、被告人的供述等证据以证实上述指控。公诉机关据此认为，被告人刘照才无视国家法律，身为国家工作人员，利用职务上的便利，挪用公款归个人使用，数额巨大，不归还，其行为触犯了《中华人民共和国刑法》第三百八十四条第一款的规定，应当</w:t>
      </w:r>
      <w:r>
        <w:rPr>
          <w:rFonts w:hint="eastAsia"/>
          <w:sz w:val="30"/>
          <w:szCs w:val="30"/>
        </w:rPr>
        <w:lastRenderedPageBreak/>
        <w:t>以挪用公款罪追究其刑事责任。鉴于被告人刘照才有自首情节，根据《中华人民共和国刑法》第六十七条第一款的规定，可以从轻处罚。提请本院依法判处。</w:t>
      </w:r>
    </w:p>
    <w:p w14:paraId="5ABD0C97" w14:textId="77777777" w:rsidR="0087526A" w:rsidRDefault="0087526A">
      <w:pPr>
        <w:spacing w:line="500" w:lineRule="atLeast"/>
        <w:ind w:firstLine="600"/>
        <w:divId w:val="1627003322"/>
        <w:rPr>
          <w:rFonts w:hint="eastAsia"/>
          <w:sz w:val="30"/>
          <w:szCs w:val="30"/>
        </w:rPr>
      </w:pPr>
      <w:r>
        <w:rPr>
          <w:rFonts w:hint="eastAsia"/>
          <w:sz w:val="30"/>
          <w:szCs w:val="30"/>
        </w:rPr>
        <w:t>被告人刘照才对公诉机关指控的罪名和犯罪事实无异议。</w:t>
      </w:r>
    </w:p>
    <w:p w14:paraId="2198D892" w14:textId="77777777" w:rsidR="0087526A" w:rsidRDefault="0087526A">
      <w:pPr>
        <w:spacing w:line="500" w:lineRule="atLeast"/>
        <w:ind w:firstLine="600"/>
        <w:divId w:val="207685412"/>
        <w:rPr>
          <w:rFonts w:hint="eastAsia"/>
          <w:sz w:val="30"/>
          <w:szCs w:val="30"/>
        </w:rPr>
      </w:pPr>
      <w:r>
        <w:rPr>
          <w:rFonts w:hint="eastAsia"/>
          <w:sz w:val="30"/>
          <w:szCs w:val="30"/>
        </w:rPr>
        <w:t>辩护人辩称，被告人刘照才有自首情节，案发前后积极退赃合计人民币</w:t>
      </w:r>
      <w:r>
        <w:rPr>
          <w:rFonts w:hint="eastAsia"/>
          <w:sz w:val="30"/>
          <w:szCs w:val="30"/>
        </w:rPr>
        <w:t>124</w:t>
      </w:r>
      <w:r>
        <w:rPr>
          <w:rFonts w:hint="eastAsia"/>
          <w:sz w:val="30"/>
          <w:szCs w:val="30"/>
        </w:rPr>
        <w:t>万元，且系初犯，有悔罪表现。</w:t>
      </w:r>
    </w:p>
    <w:p w14:paraId="7FB91919" w14:textId="77777777" w:rsidR="0087526A" w:rsidRDefault="0087526A">
      <w:pPr>
        <w:spacing w:line="500" w:lineRule="atLeast"/>
        <w:ind w:firstLine="600"/>
        <w:divId w:val="185521900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月间，被告人刘照才利用担任广东省中山国防教育训练基地主任的职务之便，以出具委托书的形式，让梁某先后</w:t>
      </w:r>
      <w:r>
        <w:rPr>
          <w:rFonts w:hint="eastAsia"/>
          <w:sz w:val="30"/>
          <w:szCs w:val="30"/>
        </w:rPr>
        <w:t>11</w:t>
      </w:r>
      <w:r>
        <w:rPr>
          <w:rFonts w:hint="eastAsia"/>
          <w:sz w:val="30"/>
          <w:szCs w:val="30"/>
        </w:rPr>
        <w:t>次将培训费人民币</w:t>
      </w:r>
      <w:r>
        <w:rPr>
          <w:rFonts w:hint="eastAsia"/>
          <w:sz w:val="30"/>
          <w:szCs w:val="30"/>
        </w:rPr>
        <w:t>683.8</w:t>
      </w:r>
      <w:r>
        <w:rPr>
          <w:rFonts w:hint="eastAsia"/>
          <w:sz w:val="30"/>
          <w:szCs w:val="30"/>
        </w:rPr>
        <w:t>万元转入其和董某</w:t>
      </w:r>
      <w:r>
        <w:rPr>
          <w:rFonts w:hint="eastAsia"/>
          <w:sz w:val="30"/>
          <w:szCs w:val="30"/>
        </w:rPr>
        <w:t>2</w:t>
      </w:r>
      <w:r>
        <w:rPr>
          <w:rFonts w:hint="eastAsia"/>
          <w:sz w:val="30"/>
          <w:szCs w:val="30"/>
        </w:rPr>
        <w:t>的私人帐户，用于承包经营清远市清城区源潭镇大龙碎石场及入股江西省全南县金泰水电站等项目。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月，被告人刘照才先后归还人民币</w:t>
      </w:r>
      <w:r>
        <w:rPr>
          <w:rFonts w:hint="eastAsia"/>
          <w:sz w:val="30"/>
          <w:szCs w:val="30"/>
        </w:rPr>
        <w:t>55</w:t>
      </w:r>
      <w:r>
        <w:rPr>
          <w:rFonts w:hint="eastAsia"/>
          <w:sz w:val="30"/>
          <w:szCs w:val="30"/>
        </w:rPr>
        <w:t>万元、</w:t>
      </w:r>
      <w:r>
        <w:rPr>
          <w:rFonts w:hint="eastAsia"/>
          <w:sz w:val="30"/>
          <w:szCs w:val="30"/>
        </w:rPr>
        <w:t>50</w:t>
      </w:r>
      <w:r>
        <w:rPr>
          <w:rFonts w:hint="eastAsia"/>
          <w:sz w:val="30"/>
          <w:szCs w:val="30"/>
        </w:rPr>
        <w:t>万元到中山国防教育训练基地帐户。因被告人刘照才经营不善，严重亏损，至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月，中山军分区后勤部对中山国防教育训练基地进行财务审计时，尚有公款人民币</w:t>
      </w:r>
      <w:r>
        <w:rPr>
          <w:rFonts w:hint="eastAsia"/>
          <w:sz w:val="30"/>
          <w:szCs w:val="30"/>
        </w:rPr>
        <w:t>578.8</w:t>
      </w:r>
      <w:r>
        <w:rPr>
          <w:rFonts w:hint="eastAsia"/>
          <w:sz w:val="30"/>
          <w:szCs w:val="30"/>
        </w:rPr>
        <w:t>万元未归还。同月，被告人刘照才向中山军分区领导投案后，于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月先后归还中山国防教育训练基地人民币</w:t>
      </w:r>
      <w:r>
        <w:rPr>
          <w:rFonts w:hint="eastAsia"/>
          <w:sz w:val="30"/>
          <w:szCs w:val="30"/>
        </w:rPr>
        <w:t>9</w:t>
      </w:r>
      <w:r>
        <w:rPr>
          <w:rFonts w:hint="eastAsia"/>
          <w:sz w:val="30"/>
          <w:szCs w:val="30"/>
        </w:rPr>
        <w:t>万元、</w:t>
      </w:r>
      <w:r>
        <w:rPr>
          <w:rFonts w:hint="eastAsia"/>
          <w:sz w:val="30"/>
          <w:szCs w:val="30"/>
        </w:rPr>
        <w:t>10</w:t>
      </w:r>
      <w:r>
        <w:rPr>
          <w:rFonts w:hint="eastAsia"/>
          <w:sz w:val="30"/>
          <w:szCs w:val="30"/>
        </w:rPr>
        <w:t>万元。综上，被告人刘照才至今尚有公款人民币</w:t>
      </w:r>
      <w:r>
        <w:rPr>
          <w:rFonts w:hint="eastAsia"/>
          <w:sz w:val="30"/>
          <w:szCs w:val="30"/>
        </w:rPr>
        <w:t>559.8</w:t>
      </w:r>
      <w:r>
        <w:rPr>
          <w:rFonts w:hint="eastAsia"/>
          <w:sz w:val="30"/>
          <w:szCs w:val="30"/>
        </w:rPr>
        <w:t>万元未归还。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日，被告人刘照才到中山市人民检察院投案并如实供述了上述犯罪事实。</w:t>
      </w:r>
    </w:p>
    <w:p w14:paraId="7B04DFE5" w14:textId="77777777" w:rsidR="0087526A" w:rsidRDefault="0087526A">
      <w:pPr>
        <w:spacing w:line="500" w:lineRule="atLeast"/>
        <w:ind w:firstLine="600"/>
        <w:divId w:val="1437868585"/>
        <w:rPr>
          <w:rFonts w:hint="eastAsia"/>
          <w:sz w:val="30"/>
          <w:szCs w:val="30"/>
        </w:rPr>
      </w:pPr>
      <w:r>
        <w:rPr>
          <w:rFonts w:hint="eastAsia"/>
          <w:sz w:val="30"/>
          <w:szCs w:val="30"/>
        </w:rPr>
        <w:t>上述事实，被告人刘照才当庭自愿认罪，且有公诉机关提交并经法庭质证的到案经过和到案情况说明，证人梁某、吴某、夏某、董某</w:t>
      </w:r>
      <w:r>
        <w:rPr>
          <w:rFonts w:hint="eastAsia"/>
          <w:sz w:val="30"/>
          <w:szCs w:val="30"/>
        </w:rPr>
        <w:t>1</w:t>
      </w:r>
      <w:r>
        <w:rPr>
          <w:rFonts w:hint="eastAsia"/>
          <w:sz w:val="30"/>
          <w:szCs w:val="30"/>
        </w:rPr>
        <w:t>、董某</w:t>
      </w:r>
      <w:r>
        <w:rPr>
          <w:rFonts w:hint="eastAsia"/>
          <w:sz w:val="30"/>
          <w:szCs w:val="30"/>
        </w:rPr>
        <w:t>2</w:t>
      </w:r>
      <w:r>
        <w:rPr>
          <w:rFonts w:hint="eastAsia"/>
          <w:sz w:val="30"/>
          <w:szCs w:val="30"/>
        </w:rPr>
        <w:t>、张某、林某的证言，《国防教育营协议书》及附属文件、证人梁某提供的培训费收取记录，委托书，对帐单及取款单、进帐单、费用清单，预付基地费用统计表、培训费用一览及取款单、进帐单，被告人刘照才及董某</w:t>
      </w:r>
      <w:r>
        <w:rPr>
          <w:rFonts w:hint="eastAsia"/>
          <w:sz w:val="30"/>
          <w:szCs w:val="30"/>
        </w:rPr>
        <w:t>2</w:t>
      </w:r>
      <w:r>
        <w:rPr>
          <w:rFonts w:hint="eastAsia"/>
          <w:sz w:val="30"/>
          <w:szCs w:val="30"/>
        </w:rPr>
        <w:t>帐户开户信息、查询资料、存取款凭条，客户明细帐及记帐凭证、清远市豪丰矿业开发有限公司提供的《废石清理、破碎加工合作协议书》及《废石清理、破碎加工合作补充协议书》、退赃凭证、被告人刘照才的供述、被告人刘照才的户籍证明及任职文件等证据证实，足以认定。</w:t>
      </w:r>
    </w:p>
    <w:p w14:paraId="050E524D" w14:textId="77777777" w:rsidR="0087526A" w:rsidRDefault="0087526A">
      <w:pPr>
        <w:spacing w:line="500" w:lineRule="atLeast"/>
        <w:ind w:firstLine="600"/>
        <w:divId w:val="406421290"/>
        <w:rPr>
          <w:rFonts w:hint="eastAsia"/>
          <w:sz w:val="30"/>
          <w:szCs w:val="30"/>
        </w:rPr>
      </w:pPr>
      <w:r>
        <w:rPr>
          <w:rFonts w:hint="eastAsia"/>
          <w:sz w:val="30"/>
          <w:szCs w:val="30"/>
        </w:rPr>
        <w:t>本院认为，被告人刘照才无视国家法律，身为国家工作人员，利用职务上的便利，挪用公款归个人使用，用于经营活动，数额巨大不退还，其行为已构成挪用公款罪，依法应予惩处。被告人刘照才尚未足额退赔的违法所得，应当责令退赔。被告人刘照才犯罪以后自动投案，如实供述自己的罪行，有自首情节，可以减轻处罚。公诉机关指控被告人刘照才犯挪用公款罪的事实清楚，证据确实、充分，罪名成立，本院予以支持。对于辩护人辩称，被告人刘照才有自首情节，案发前后积极退赃合计人民币</w:t>
      </w:r>
      <w:r>
        <w:rPr>
          <w:rFonts w:hint="eastAsia"/>
          <w:sz w:val="30"/>
          <w:szCs w:val="30"/>
        </w:rPr>
        <w:t>124</w:t>
      </w:r>
      <w:r>
        <w:rPr>
          <w:rFonts w:hint="eastAsia"/>
          <w:sz w:val="30"/>
          <w:szCs w:val="30"/>
        </w:rPr>
        <w:t>万元，且系初犯，有悔罪表现的辩护意见，经查属实，予以采纳。依照《中华人民共和国刑法》第三百八十四条第一款、第六十七条第一款、第六十四条及《最高人民法院、最高人民检察院关于办理贪污贿赂刑事案件适用法律若干问题的解释》第六条、第十八条、《最高人民法院关于审理挪用公款案件具体应用法律若干问题的解释》第四条、第五条之规定，判决如下：</w:t>
      </w:r>
    </w:p>
    <w:p w14:paraId="1177FC10" w14:textId="77777777" w:rsidR="0087526A" w:rsidRDefault="0087526A">
      <w:pPr>
        <w:spacing w:line="500" w:lineRule="atLeast"/>
        <w:ind w:firstLine="600"/>
        <w:divId w:val="654142835"/>
        <w:rPr>
          <w:rFonts w:hint="eastAsia"/>
          <w:sz w:val="30"/>
          <w:szCs w:val="30"/>
        </w:rPr>
      </w:pPr>
      <w:r>
        <w:rPr>
          <w:rFonts w:hint="eastAsia"/>
          <w:sz w:val="30"/>
          <w:szCs w:val="30"/>
        </w:rPr>
        <w:t>一、被告人刘照才犯挪用公款罪，判处有期徒刑八年。</w:t>
      </w:r>
    </w:p>
    <w:p w14:paraId="430DAC1B" w14:textId="77777777" w:rsidR="0087526A" w:rsidRDefault="0087526A">
      <w:pPr>
        <w:spacing w:line="500" w:lineRule="atLeast"/>
        <w:ind w:firstLine="600"/>
        <w:divId w:val="884294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w:t>
      </w:r>
    </w:p>
    <w:p w14:paraId="7E906DC8" w14:textId="77777777" w:rsidR="0087526A" w:rsidRDefault="0087526A">
      <w:pPr>
        <w:spacing w:line="500" w:lineRule="atLeast"/>
        <w:ind w:firstLine="600"/>
        <w:divId w:val="1435517814"/>
        <w:rPr>
          <w:rFonts w:hint="eastAsia"/>
          <w:sz w:val="30"/>
          <w:szCs w:val="30"/>
        </w:rPr>
      </w:pPr>
      <w:r>
        <w:rPr>
          <w:rFonts w:hint="eastAsia"/>
          <w:sz w:val="30"/>
          <w:szCs w:val="30"/>
        </w:rPr>
        <w:t>二、责令被告人刘照才向广东省中山国防教育训练基地退赔犯罪所得人民币</w:t>
      </w:r>
      <w:r>
        <w:rPr>
          <w:rFonts w:hint="eastAsia"/>
          <w:sz w:val="30"/>
          <w:szCs w:val="30"/>
        </w:rPr>
        <w:t>559.8</w:t>
      </w:r>
      <w:r>
        <w:rPr>
          <w:rFonts w:hint="eastAsia"/>
          <w:sz w:val="30"/>
          <w:szCs w:val="30"/>
        </w:rPr>
        <w:t>万元。</w:t>
      </w:r>
    </w:p>
    <w:p w14:paraId="05D09A08" w14:textId="77777777" w:rsidR="0087526A" w:rsidRDefault="0087526A">
      <w:pPr>
        <w:spacing w:line="500" w:lineRule="atLeast"/>
        <w:ind w:firstLine="600"/>
        <w:divId w:val="598104200"/>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2EB1C880" w14:textId="77777777" w:rsidR="0087526A" w:rsidRDefault="0087526A">
      <w:pPr>
        <w:spacing w:line="500" w:lineRule="atLeast"/>
        <w:jc w:val="right"/>
        <w:divId w:val="2146510379"/>
        <w:rPr>
          <w:rFonts w:hint="eastAsia"/>
          <w:sz w:val="30"/>
          <w:szCs w:val="30"/>
        </w:rPr>
      </w:pPr>
      <w:r>
        <w:rPr>
          <w:rFonts w:hint="eastAsia"/>
          <w:sz w:val="30"/>
          <w:szCs w:val="30"/>
        </w:rPr>
        <w:t>审　判　长　　姜国卫</w:t>
      </w:r>
    </w:p>
    <w:p w14:paraId="756594B0" w14:textId="77777777" w:rsidR="0087526A" w:rsidRDefault="0087526A">
      <w:pPr>
        <w:spacing w:line="500" w:lineRule="atLeast"/>
        <w:jc w:val="right"/>
        <w:divId w:val="1171676047"/>
        <w:rPr>
          <w:rFonts w:hint="eastAsia"/>
          <w:sz w:val="30"/>
          <w:szCs w:val="30"/>
        </w:rPr>
      </w:pPr>
      <w:r>
        <w:rPr>
          <w:rFonts w:hint="eastAsia"/>
          <w:sz w:val="30"/>
          <w:szCs w:val="30"/>
        </w:rPr>
        <w:t>审　判　员　　施斌斌</w:t>
      </w:r>
    </w:p>
    <w:p w14:paraId="55061AFF" w14:textId="77777777" w:rsidR="0087526A" w:rsidRDefault="0087526A">
      <w:pPr>
        <w:spacing w:line="500" w:lineRule="atLeast"/>
        <w:jc w:val="right"/>
        <w:divId w:val="391539179"/>
        <w:rPr>
          <w:rFonts w:hint="eastAsia"/>
          <w:sz w:val="30"/>
          <w:szCs w:val="30"/>
        </w:rPr>
      </w:pPr>
      <w:r>
        <w:rPr>
          <w:rFonts w:hint="eastAsia"/>
          <w:sz w:val="30"/>
          <w:szCs w:val="30"/>
        </w:rPr>
        <w:t>人民陪审员　　余蔚杰</w:t>
      </w:r>
    </w:p>
    <w:p w14:paraId="66469A9A" w14:textId="77777777" w:rsidR="0087526A" w:rsidRDefault="0087526A">
      <w:pPr>
        <w:spacing w:line="500" w:lineRule="atLeast"/>
        <w:jc w:val="right"/>
        <w:divId w:val="38869874"/>
        <w:rPr>
          <w:rFonts w:hint="eastAsia"/>
          <w:sz w:val="30"/>
          <w:szCs w:val="30"/>
        </w:rPr>
      </w:pPr>
      <w:r>
        <w:rPr>
          <w:rFonts w:hint="eastAsia"/>
          <w:sz w:val="30"/>
          <w:szCs w:val="30"/>
        </w:rPr>
        <w:t>二〇一六年十一月十八日</w:t>
      </w:r>
    </w:p>
    <w:p w14:paraId="3DA5EA5A" w14:textId="77777777" w:rsidR="0087526A" w:rsidRDefault="0087526A">
      <w:pPr>
        <w:spacing w:line="500" w:lineRule="atLeast"/>
        <w:jc w:val="right"/>
        <w:divId w:val="2131127557"/>
        <w:rPr>
          <w:rFonts w:hint="eastAsia"/>
          <w:sz w:val="30"/>
          <w:szCs w:val="30"/>
        </w:rPr>
      </w:pPr>
      <w:r>
        <w:rPr>
          <w:rFonts w:hint="eastAsia"/>
          <w:sz w:val="30"/>
          <w:szCs w:val="30"/>
        </w:rPr>
        <w:t>书　记　员　　梁嘉玲</w:t>
      </w:r>
    </w:p>
    <w:p w14:paraId="211C4175" w14:textId="77777777" w:rsidR="0087526A" w:rsidRDefault="0087526A">
      <w:pPr>
        <w:spacing w:line="500" w:lineRule="atLeast"/>
        <w:ind w:firstLine="600"/>
        <w:divId w:val="1921596380"/>
        <w:rPr>
          <w:rFonts w:hint="eastAsia"/>
          <w:sz w:val="30"/>
          <w:szCs w:val="30"/>
        </w:rPr>
      </w:pPr>
      <w:r>
        <w:rPr>
          <w:rFonts w:hint="eastAsia"/>
          <w:sz w:val="30"/>
          <w:szCs w:val="30"/>
        </w:rPr>
        <w:t>梁琳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CCE0E" w14:textId="77777777" w:rsidR="0087526A" w:rsidRDefault="0087526A" w:rsidP="0087526A">
      <w:pPr>
        <w:rPr>
          <w:rFonts w:hint="eastAsia"/>
        </w:rPr>
      </w:pPr>
      <w:r>
        <w:separator/>
      </w:r>
    </w:p>
  </w:endnote>
  <w:endnote w:type="continuationSeparator" w:id="0">
    <w:p w14:paraId="3A6E90DB" w14:textId="77777777" w:rsidR="0087526A" w:rsidRDefault="0087526A" w:rsidP="008752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CF1E" w14:textId="77777777" w:rsidR="0087526A" w:rsidRDefault="0087526A" w:rsidP="0087526A">
      <w:pPr>
        <w:rPr>
          <w:rFonts w:hint="eastAsia"/>
        </w:rPr>
      </w:pPr>
      <w:r>
        <w:separator/>
      </w:r>
    </w:p>
  </w:footnote>
  <w:footnote w:type="continuationSeparator" w:id="0">
    <w:p w14:paraId="443497E5" w14:textId="77777777" w:rsidR="0087526A" w:rsidRDefault="0087526A" w:rsidP="008752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526A"/>
    <w:rsid w:val="0087526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5C85E"/>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526A"/>
    <w:pPr>
      <w:tabs>
        <w:tab w:val="center" w:pos="4153"/>
        <w:tab w:val="right" w:pos="8306"/>
      </w:tabs>
      <w:snapToGrid w:val="0"/>
      <w:jc w:val="center"/>
    </w:pPr>
    <w:rPr>
      <w:sz w:val="18"/>
      <w:szCs w:val="18"/>
    </w:rPr>
  </w:style>
  <w:style w:type="character" w:customStyle="1" w:styleId="a4">
    <w:name w:val="页眉 字符"/>
    <w:basedOn w:val="a0"/>
    <w:link w:val="a3"/>
    <w:uiPriority w:val="99"/>
    <w:rsid w:val="0087526A"/>
    <w:rPr>
      <w:rFonts w:ascii="宋体" w:eastAsia="宋体" w:hAnsi="宋体" w:cs="宋体"/>
      <w:sz w:val="18"/>
      <w:szCs w:val="18"/>
    </w:rPr>
  </w:style>
  <w:style w:type="paragraph" w:styleId="a5">
    <w:name w:val="footer"/>
    <w:basedOn w:val="a"/>
    <w:link w:val="a6"/>
    <w:uiPriority w:val="99"/>
    <w:unhideWhenUsed/>
    <w:rsid w:val="0087526A"/>
    <w:pPr>
      <w:tabs>
        <w:tab w:val="center" w:pos="4153"/>
        <w:tab w:val="right" w:pos="8306"/>
      </w:tabs>
      <w:snapToGrid w:val="0"/>
    </w:pPr>
    <w:rPr>
      <w:sz w:val="18"/>
      <w:szCs w:val="18"/>
    </w:rPr>
  </w:style>
  <w:style w:type="character" w:customStyle="1" w:styleId="a6">
    <w:name w:val="页脚 字符"/>
    <w:basedOn w:val="a0"/>
    <w:link w:val="a5"/>
    <w:uiPriority w:val="99"/>
    <w:rsid w:val="008752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9874">
      <w:marLeft w:val="0"/>
      <w:marRight w:val="720"/>
      <w:marTop w:val="10"/>
      <w:marBottom w:val="10"/>
      <w:divBdr>
        <w:top w:val="none" w:sz="0" w:space="0" w:color="auto"/>
        <w:left w:val="none" w:sz="0" w:space="0" w:color="auto"/>
        <w:bottom w:val="none" w:sz="0" w:space="0" w:color="auto"/>
        <w:right w:val="none" w:sz="0" w:space="0" w:color="auto"/>
      </w:divBdr>
    </w:div>
    <w:div w:id="88429409">
      <w:marLeft w:val="0"/>
      <w:marRight w:val="0"/>
      <w:marTop w:val="10"/>
      <w:marBottom w:val="10"/>
      <w:divBdr>
        <w:top w:val="none" w:sz="0" w:space="0" w:color="auto"/>
        <w:left w:val="none" w:sz="0" w:space="0" w:color="auto"/>
        <w:bottom w:val="none" w:sz="0" w:space="0" w:color="auto"/>
        <w:right w:val="none" w:sz="0" w:space="0" w:color="auto"/>
      </w:divBdr>
    </w:div>
    <w:div w:id="116683388">
      <w:marLeft w:val="0"/>
      <w:marRight w:val="0"/>
      <w:marTop w:val="10"/>
      <w:marBottom w:val="10"/>
      <w:divBdr>
        <w:top w:val="none" w:sz="0" w:space="0" w:color="auto"/>
        <w:left w:val="none" w:sz="0" w:space="0" w:color="auto"/>
        <w:bottom w:val="none" w:sz="0" w:space="0" w:color="auto"/>
        <w:right w:val="none" w:sz="0" w:space="0" w:color="auto"/>
      </w:divBdr>
    </w:div>
    <w:div w:id="207685412">
      <w:marLeft w:val="0"/>
      <w:marRight w:val="0"/>
      <w:marTop w:val="10"/>
      <w:marBottom w:val="10"/>
      <w:divBdr>
        <w:top w:val="none" w:sz="0" w:space="0" w:color="auto"/>
        <w:left w:val="none" w:sz="0" w:space="0" w:color="auto"/>
        <w:bottom w:val="none" w:sz="0" w:space="0" w:color="auto"/>
        <w:right w:val="none" w:sz="0" w:space="0" w:color="auto"/>
      </w:divBdr>
    </w:div>
    <w:div w:id="391539179">
      <w:marLeft w:val="0"/>
      <w:marRight w:val="720"/>
      <w:marTop w:val="10"/>
      <w:marBottom w:val="10"/>
      <w:divBdr>
        <w:top w:val="none" w:sz="0" w:space="0" w:color="auto"/>
        <w:left w:val="none" w:sz="0" w:space="0" w:color="auto"/>
        <w:bottom w:val="none" w:sz="0" w:space="0" w:color="auto"/>
        <w:right w:val="none" w:sz="0" w:space="0" w:color="auto"/>
      </w:divBdr>
    </w:div>
    <w:div w:id="406421290">
      <w:marLeft w:val="0"/>
      <w:marRight w:val="0"/>
      <w:marTop w:val="10"/>
      <w:marBottom w:val="10"/>
      <w:divBdr>
        <w:top w:val="none" w:sz="0" w:space="0" w:color="auto"/>
        <w:left w:val="none" w:sz="0" w:space="0" w:color="auto"/>
        <w:bottom w:val="none" w:sz="0" w:space="0" w:color="auto"/>
        <w:right w:val="none" w:sz="0" w:space="0" w:color="auto"/>
      </w:divBdr>
    </w:div>
    <w:div w:id="598104200">
      <w:marLeft w:val="0"/>
      <w:marRight w:val="0"/>
      <w:marTop w:val="10"/>
      <w:marBottom w:val="10"/>
      <w:divBdr>
        <w:top w:val="none" w:sz="0" w:space="0" w:color="auto"/>
        <w:left w:val="none" w:sz="0" w:space="0" w:color="auto"/>
        <w:bottom w:val="none" w:sz="0" w:space="0" w:color="auto"/>
        <w:right w:val="none" w:sz="0" w:space="0" w:color="auto"/>
      </w:divBdr>
    </w:div>
    <w:div w:id="645278876">
      <w:marLeft w:val="0"/>
      <w:marRight w:val="0"/>
      <w:marTop w:val="10"/>
      <w:marBottom w:val="10"/>
      <w:divBdr>
        <w:top w:val="none" w:sz="0" w:space="0" w:color="auto"/>
        <w:left w:val="none" w:sz="0" w:space="0" w:color="auto"/>
        <w:bottom w:val="none" w:sz="0" w:space="0" w:color="auto"/>
        <w:right w:val="none" w:sz="0" w:space="0" w:color="auto"/>
      </w:divBdr>
    </w:div>
    <w:div w:id="654142835">
      <w:marLeft w:val="0"/>
      <w:marRight w:val="0"/>
      <w:marTop w:val="10"/>
      <w:marBottom w:val="10"/>
      <w:divBdr>
        <w:top w:val="none" w:sz="0" w:space="0" w:color="auto"/>
        <w:left w:val="none" w:sz="0" w:space="0" w:color="auto"/>
        <w:bottom w:val="none" w:sz="0" w:space="0" w:color="auto"/>
        <w:right w:val="none" w:sz="0" w:space="0" w:color="auto"/>
      </w:divBdr>
    </w:div>
    <w:div w:id="865099701">
      <w:marLeft w:val="0"/>
      <w:marRight w:val="0"/>
      <w:marTop w:val="10"/>
      <w:marBottom w:val="10"/>
      <w:divBdr>
        <w:top w:val="none" w:sz="0" w:space="0" w:color="auto"/>
        <w:left w:val="none" w:sz="0" w:space="0" w:color="auto"/>
        <w:bottom w:val="none" w:sz="0" w:space="0" w:color="auto"/>
        <w:right w:val="none" w:sz="0" w:space="0" w:color="auto"/>
      </w:divBdr>
    </w:div>
    <w:div w:id="1131943424">
      <w:marLeft w:val="0"/>
      <w:marRight w:val="0"/>
      <w:marTop w:val="10"/>
      <w:marBottom w:val="10"/>
      <w:divBdr>
        <w:top w:val="none" w:sz="0" w:space="0" w:color="auto"/>
        <w:left w:val="none" w:sz="0" w:space="0" w:color="auto"/>
        <w:bottom w:val="none" w:sz="0" w:space="0" w:color="auto"/>
        <w:right w:val="none" w:sz="0" w:space="0" w:color="auto"/>
      </w:divBdr>
    </w:div>
    <w:div w:id="1171676047">
      <w:marLeft w:val="0"/>
      <w:marRight w:val="720"/>
      <w:marTop w:val="10"/>
      <w:marBottom w:val="10"/>
      <w:divBdr>
        <w:top w:val="none" w:sz="0" w:space="0" w:color="auto"/>
        <w:left w:val="none" w:sz="0" w:space="0" w:color="auto"/>
        <w:bottom w:val="none" w:sz="0" w:space="0" w:color="auto"/>
        <w:right w:val="none" w:sz="0" w:space="0" w:color="auto"/>
      </w:divBdr>
    </w:div>
    <w:div w:id="1431046830">
      <w:marLeft w:val="0"/>
      <w:marRight w:val="0"/>
      <w:marTop w:val="10"/>
      <w:marBottom w:val="10"/>
      <w:divBdr>
        <w:top w:val="none" w:sz="0" w:space="0" w:color="auto"/>
        <w:left w:val="none" w:sz="0" w:space="0" w:color="auto"/>
        <w:bottom w:val="none" w:sz="0" w:space="0" w:color="auto"/>
        <w:right w:val="none" w:sz="0" w:space="0" w:color="auto"/>
      </w:divBdr>
    </w:div>
    <w:div w:id="1435517814">
      <w:marLeft w:val="0"/>
      <w:marRight w:val="0"/>
      <w:marTop w:val="10"/>
      <w:marBottom w:val="10"/>
      <w:divBdr>
        <w:top w:val="none" w:sz="0" w:space="0" w:color="auto"/>
        <w:left w:val="none" w:sz="0" w:space="0" w:color="auto"/>
        <w:bottom w:val="none" w:sz="0" w:space="0" w:color="auto"/>
        <w:right w:val="none" w:sz="0" w:space="0" w:color="auto"/>
      </w:divBdr>
    </w:div>
    <w:div w:id="1437868585">
      <w:marLeft w:val="0"/>
      <w:marRight w:val="0"/>
      <w:marTop w:val="10"/>
      <w:marBottom w:val="10"/>
      <w:divBdr>
        <w:top w:val="none" w:sz="0" w:space="0" w:color="auto"/>
        <w:left w:val="none" w:sz="0" w:space="0" w:color="auto"/>
        <w:bottom w:val="none" w:sz="0" w:space="0" w:color="auto"/>
        <w:right w:val="none" w:sz="0" w:space="0" w:color="auto"/>
      </w:divBdr>
    </w:div>
    <w:div w:id="1492452746">
      <w:marLeft w:val="0"/>
      <w:marRight w:val="0"/>
      <w:marTop w:val="10"/>
      <w:marBottom w:val="10"/>
      <w:divBdr>
        <w:top w:val="none" w:sz="0" w:space="0" w:color="auto"/>
        <w:left w:val="none" w:sz="0" w:space="0" w:color="auto"/>
        <w:bottom w:val="none" w:sz="0" w:space="0" w:color="auto"/>
        <w:right w:val="none" w:sz="0" w:space="0" w:color="auto"/>
      </w:divBdr>
    </w:div>
    <w:div w:id="1627003322">
      <w:marLeft w:val="0"/>
      <w:marRight w:val="0"/>
      <w:marTop w:val="10"/>
      <w:marBottom w:val="10"/>
      <w:divBdr>
        <w:top w:val="none" w:sz="0" w:space="0" w:color="auto"/>
        <w:left w:val="none" w:sz="0" w:space="0" w:color="auto"/>
        <w:bottom w:val="none" w:sz="0" w:space="0" w:color="auto"/>
        <w:right w:val="none" w:sz="0" w:space="0" w:color="auto"/>
      </w:divBdr>
    </w:div>
    <w:div w:id="1707172603">
      <w:marLeft w:val="0"/>
      <w:marRight w:val="0"/>
      <w:marTop w:val="10"/>
      <w:marBottom w:val="10"/>
      <w:divBdr>
        <w:top w:val="none" w:sz="0" w:space="0" w:color="auto"/>
        <w:left w:val="none" w:sz="0" w:space="0" w:color="auto"/>
        <w:bottom w:val="none" w:sz="0" w:space="0" w:color="auto"/>
        <w:right w:val="none" w:sz="0" w:space="0" w:color="auto"/>
      </w:divBdr>
    </w:div>
    <w:div w:id="1855219004">
      <w:marLeft w:val="0"/>
      <w:marRight w:val="0"/>
      <w:marTop w:val="10"/>
      <w:marBottom w:val="10"/>
      <w:divBdr>
        <w:top w:val="none" w:sz="0" w:space="0" w:color="auto"/>
        <w:left w:val="none" w:sz="0" w:space="0" w:color="auto"/>
        <w:bottom w:val="none" w:sz="0" w:space="0" w:color="auto"/>
        <w:right w:val="none" w:sz="0" w:space="0" w:color="auto"/>
      </w:divBdr>
    </w:div>
    <w:div w:id="1921596380">
      <w:marLeft w:val="0"/>
      <w:marRight w:val="0"/>
      <w:marTop w:val="10"/>
      <w:marBottom w:val="10"/>
      <w:divBdr>
        <w:top w:val="none" w:sz="0" w:space="0" w:color="auto"/>
        <w:left w:val="none" w:sz="0" w:space="0" w:color="auto"/>
        <w:bottom w:val="none" w:sz="0" w:space="0" w:color="auto"/>
        <w:right w:val="none" w:sz="0" w:space="0" w:color="auto"/>
      </w:divBdr>
    </w:div>
    <w:div w:id="2121681774">
      <w:marLeft w:val="0"/>
      <w:marRight w:val="0"/>
      <w:marTop w:val="10"/>
      <w:marBottom w:val="10"/>
      <w:divBdr>
        <w:top w:val="none" w:sz="0" w:space="0" w:color="auto"/>
        <w:left w:val="none" w:sz="0" w:space="0" w:color="auto"/>
        <w:bottom w:val="none" w:sz="0" w:space="0" w:color="auto"/>
        <w:right w:val="none" w:sz="0" w:space="0" w:color="auto"/>
      </w:divBdr>
    </w:div>
    <w:div w:id="2131127557">
      <w:marLeft w:val="0"/>
      <w:marRight w:val="720"/>
      <w:marTop w:val="10"/>
      <w:marBottom w:val="10"/>
      <w:divBdr>
        <w:top w:val="none" w:sz="0" w:space="0" w:color="auto"/>
        <w:left w:val="none" w:sz="0" w:space="0" w:color="auto"/>
        <w:bottom w:val="none" w:sz="0" w:space="0" w:color="auto"/>
        <w:right w:val="none" w:sz="0" w:space="0" w:color="auto"/>
      </w:divBdr>
    </w:div>
    <w:div w:id="214651037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