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D641" w14:textId="77777777" w:rsidR="00F335EB" w:rsidRDefault="00F335EB">
      <w:pPr>
        <w:spacing w:line="500" w:lineRule="atLeast"/>
        <w:jc w:val="center"/>
        <w:divId w:val="1283151993"/>
        <w:rPr>
          <w:rFonts w:ascii="黑体" w:eastAsia="黑体" w:hAnsi="黑体"/>
          <w:sz w:val="36"/>
          <w:szCs w:val="36"/>
        </w:rPr>
      </w:pPr>
      <w:r>
        <w:rPr>
          <w:rFonts w:ascii="黑体" w:eastAsia="黑体" w:hAnsi="黑体" w:hint="eastAsia"/>
          <w:sz w:val="36"/>
          <w:szCs w:val="36"/>
        </w:rPr>
        <w:t>广东省广州市越秀区人民法院</w:t>
      </w:r>
    </w:p>
    <w:p w14:paraId="2C1A25CD" w14:textId="77777777" w:rsidR="00F335EB" w:rsidRDefault="00F335EB">
      <w:pPr>
        <w:spacing w:line="500" w:lineRule="atLeast"/>
        <w:jc w:val="center"/>
        <w:divId w:val="7217548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28E712" w14:textId="77777777" w:rsidR="00F335EB" w:rsidRDefault="00F335EB">
      <w:pPr>
        <w:spacing w:line="500" w:lineRule="atLeast"/>
        <w:jc w:val="right"/>
        <w:divId w:val="930676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202</w:t>
      </w:r>
      <w:r>
        <w:rPr>
          <w:rFonts w:hint="eastAsia"/>
          <w:sz w:val="30"/>
          <w:szCs w:val="30"/>
        </w:rPr>
        <w:t>号</w:t>
      </w:r>
    </w:p>
    <w:p w14:paraId="763541FD" w14:textId="77777777" w:rsidR="00F335EB" w:rsidRDefault="00F335EB">
      <w:pPr>
        <w:spacing w:line="500" w:lineRule="atLeast"/>
        <w:ind w:firstLine="600"/>
        <w:divId w:val="1973556114"/>
        <w:rPr>
          <w:rFonts w:hint="eastAsia"/>
          <w:sz w:val="30"/>
          <w:szCs w:val="30"/>
        </w:rPr>
      </w:pPr>
      <w:r>
        <w:rPr>
          <w:rFonts w:hint="eastAsia"/>
          <w:sz w:val="30"/>
          <w:szCs w:val="30"/>
        </w:rPr>
        <w:t>公诉机关广东省广州市越秀区人民检察院。</w:t>
      </w:r>
    </w:p>
    <w:p w14:paraId="7431820E" w14:textId="77777777" w:rsidR="00F335EB" w:rsidRDefault="00F335EB">
      <w:pPr>
        <w:spacing w:line="500" w:lineRule="atLeast"/>
        <w:ind w:firstLine="600"/>
        <w:divId w:val="1547178130"/>
        <w:rPr>
          <w:rFonts w:hint="eastAsia"/>
          <w:sz w:val="30"/>
          <w:szCs w:val="30"/>
        </w:rPr>
      </w:pPr>
      <w:r>
        <w:rPr>
          <w:rFonts w:hint="eastAsia"/>
          <w:sz w:val="30"/>
          <w:szCs w:val="30"/>
        </w:rPr>
        <w:t>被告人古力文，男，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日出生，汉族，出生地广东省广州市，文化程度大学本科，原系广东广弘国际贸易集团有限公司有色金属贸易部（后更名为贸易一部）总经理，户籍地广州市越秀区，住广州市白云区。因本案于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日被逮捕。现羁押于广州市第一看守所。</w:t>
      </w:r>
    </w:p>
    <w:p w14:paraId="2A57450E" w14:textId="77777777" w:rsidR="00F335EB" w:rsidRDefault="00F335EB">
      <w:pPr>
        <w:spacing w:line="500" w:lineRule="atLeast"/>
        <w:ind w:firstLine="600"/>
        <w:divId w:val="932906139"/>
        <w:rPr>
          <w:rFonts w:hint="eastAsia"/>
          <w:sz w:val="30"/>
          <w:szCs w:val="30"/>
        </w:rPr>
      </w:pPr>
      <w:r>
        <w:rPr>
          <w:rFonts w:hint="eastAsia"/>
          <w:sz w:val="30"/>
          <w:szCs w:val="30"/>
        </w:rPr>
        <w:t>辩护人钟智浩，广东军淳律师事务所律师。</w:t>
      </w:r>
    </w:p>
    <w:p w14:paraId="7100E833" w14:textId="77777777" w:rsidR="00F335EB" w:rsidRDefault="00F335EB">
      <w:pPr>
        <w:spacing w:line="500" w:lineRule="atLeast"/>
        <w:ind w:firstLine="600"/>
        <w:divId w:val="993723749"/>
        <w:rPr>
          <w:rFonts w:hint="eastAsia"/>
          <w:sz w:val="30"/>
          <w:szCs w:val="30"/>
        </w:rPr>
      </w:pPr>
      <w:r>
        <w:rPr>
          <w:rFonts w:hint="eastAsia"/>
          <w:sz w:val="30"/>
          <w:szCs w:val="30"/>
        </w:rPr>
        <w:t>广东省广州市越秀区人民检察院以越检刑诉</w:t>
      </w:r>
      <w:r>
        <w:rPr>
          <w:rFonts w:hint="eastAsia"/>
          <w:sz w:val="30"/>
          <w:szCs w:val="30"/>
        </w:rPr>
        <w:t>[2017]153</w:t>
      </w:r>
      <w:r>
        <w:rPr>
          <w:rFonts w:hint="eastAsia"/>
          <w:sz w:val="30"/>
          <w:szCs w:val="30"/>
        </w:rPr>
        <w:t>号起诉书指控被告人古力文犯受贿罪，向本院提起公诉。本院立案后，依法组成合议庭，公开开庭审理了本案。广州市越秀区人民检察院指派检察员李颂捷出庭支持公诉，被告人古力文及辩护人钟智浩到庭参加诉讼。现已审理终结。</w:t>
      </w:r>
    </w:p>
    <w:p w14:paraId="4AD8DC9F" w14:textId="77777777" w:rsidR="00F335EB" w:rsidRDefault="00F335EB">
      <w:pPr>
        <w:spacing w:line="500" w:lineRule="atLeast"/>
        <w:ind w:firstLine="600"/>
        <w:divId w:val="197353033"/>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被告人古力文担任广东广弘国际贸易集团有限公司（以下简称广弘国贸）贸易一部总经理期间，利用负责公司有色金属贸易的职务便利，在与台山金润铝制品有限公司（以下简称金润公司）进行“假贸易真融资”活动的过程中，在资金使用额度、占用时间等方面为金润公司提供帮助，并分</w:t>
      </w:r>
      <w:r>
        <w:rPr>
          <w:rFonts w:hint="eastAsia"/>
          <w:sz w:val="30"/>
          <w:szCs w:val="30"/>
        </w:rPr>
        <w:t>5</w:t>
      </w:r>
      <w:r>
        <w:rPr>
          <w:rFonts w:hint="eastAsia"/>
          <w:sz w:val="30"/>
          <w:szCs w:val="30"/>
        </w:rPr>
        <w:t>次收受了金润公司董事长雷某、财务经理余某（均另案处理）贿送的好处费共计人民币</w:t>
      </w:r>
      <w:r>
        <w:rPr>
          <w:rFonts w:hint="eastAsia"/>
          <w:sz w:val="30"/>
          <w:szCs w:val="30"/>
        </w:rPr>
        <w:t>54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日，被告人古力文向广州市人民检察院投案自首。</w:t>
      </w:r>
    </w:p>
    <w:p w14:paraId="7C948F68" w14:textId="77777777" w:rsidR="00F335EB" w:rsidRDefault="00F335EB">
      <w:pPr>
        <w:spacing w:line="500" w:lineRule="atLeast"/>
        <w:ind w:firstLine="600"/>
        <w:divId w:val="693071606"/>
        <w:rPr>
          <w:rFonts w:hint="eastAsia"/>
          <w:sz w:val="30"/>
          <w:szCs w:val="30"/>
        </w:rPr>
      </w:pPr>
      <w:r>
        <w:rPr>
          <w:rFonts w:hint="eastAsia"/>
          <w:sz w:val="30"/>
          <w:szCs w:val="30"/>
        </w:rPr>
        <w:t>公诉机关随案移送了破案报告、证人证言、被告人供述等证据，并认为被告人古力文身为国家工作人员，利用职务上的</w:t>
      </w:r>
      <w:r>
        <w:rPr>
          <w:rFonts w:hint="eastAsia"/>
          <w:sz w:val="30"/>
          <w:szCs w:val="30"/>
        </w:rPr>
        <w:lastRenderedPageBreak/>
        <w:t>便利，非法收受他人财物，为他人谋取利益，其行为应当以受贿罪追究刑事责任。被告人古力文犯罪后自动投案，如实供述自己的罪行，是自首，依法可从轻或减轻处罚。提请本院依法判处。</w:t>
      </w:r>
    </w:p>
    <w:p w14:paraId="6A4E8C34" w14:textId="77777777" w:rsidR="00F335EB" w:rsidRDefault="00F335EB">
      <w:pPr>
        <w:spacing w:line="500" w:lineRule="atLeast"/>
        <w:ind w:firstLine="600"/>
        <w:divId w:val="29184116"/>
        <w:rPr>
          <w:rFonts w:hint="eastAsia"/>
          <w:sz w:val="30"/>
          <w:szCs w:val="30"/>
        </w:rPr>
      </w:pPr>
      <w:r>
        <w:rPr>
          <w:rFonts w:hint="eastAsia"/>
          <w:sz w:val="30"/>
          <w:szCs w:val="30"/>
        </w:rPr>
        <w:t>被告人古力文对指控的事实及罪名没有异议。辩护人的主要辩护意见：被告人古力文是自首，有法定从轻、减轻处罚情节；案发后积极退赃，可酌情从轻；其系初犯，认罪悔罪态度好，主观恶性较小；建议对其从轻减轻处罚。</w:t>
      </w:r>
    </w:p>
    <w:p w14:paraId="626597CE" w14:textId="77777777" w:rsidR="00F335EB" w:rsidRDefault="00F335EB">
      <w:pPr>
        <w:spacing w:line="500" w:lineRule="atLeast"/>
        <w:ind w:firstLine="600"/>
        <w:divId w:val="11321172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古力文在担任广弘国贸贸易一部总经理期间，利用负责该公司有色金属贸易的职务便利，在与金润公司进行的“假贸易真融资”活动的过程中，在资金使用额度、占用时间等方面为金润公司提供帮助，并先后</w:t>
      </w:r>
      <w:r>
        <w:rPr>
          <w:rFonts w:hint="eastAsia"/>
          <w:sz w:val="30"/>
          <w:szCs w:val="30"/>
        </w:rPr>
        <w:t>5</w:t>
      </w:r>
      <w:r>
        <w:rPr>
          <w:rFonts w:hint="eastAsia"/>
          <w:sz w:val="30"/>
          <w:szCs w:val="30"/>
        </w:rPr>
        <w:t>次收受了金润公司董事长雷某、财务经理余某（均另案处理）贿送的好处费共计人民币</w:t>
      </w:r>
      <w:r>
        <w:rPr>
          <w:rFonts w:hint="eastAsia"/>
          <w:sz w:val="30"/>
          <w:szCs w:val="30"/>
        </w:rPr>
        <w:t>54</w:t>
      </w:r>
      <w:r>
        <w:rPr>
          <w:rFonts w:hint="eastAsia"/>
          <w:sz w:val="30"/>
          <w:szCs w:val="30"/>
        </w:rPr>
        <w:t>万元。</w:t>
      </w:r>
    </w:p>
    <w:p w14:paraId="6E7DAFC5" w14:textId="77777777" w:rsidR="00F335EB" w:rsidRDefault="00F335EB">
      <w:pPr>
        <w:spacing w:line="500" w:lineRule="atLeast"/>
        <w:ind w:firstLine="600"/>
        <w:divId w:val="1216048196"/>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日，被告人古力文向广州市人民检察院投案，并如实供述了上述事实。</w:t>
      </w:r>
    </w:p>
    <w:p w14:paraId="66CD1505" w14:textId="77777777" w:rsidR="00F335EB" w:rsidRDefault="00F335EB">
      <w:pPr>
        <w:spacing w:line="500" w:lineRule="atLeast"/>
        <w:ind w:firstLine="600"/>
        <w:divId w:val="109201487"/>
        <w:rPr>
          <w:rFonts w:hint="eastAsia"/>
          <w:sz w:val="30"/>
          <w:szCs w:val="30"/>
        </w:rPr>
      </w:pPr>
      <w:r>
        <w:rPr>
          <w:rFonts w:hint="eastAsia"/>
          <w:sz w:val="30"/>
          <w:szCs w:val="30"/>
        </w:rPr>
        <w:t>在本案审理过程中，被告人古力文退缴赃款人民币</w:t>
      </w:r>
      <w:r>
        <w:rPr>
          <w:rFonts w:hint="eastAsia"/>
          <w:sz w:val="30"/>
          <w:szCs w:val="30"/>
        </w:rPr>
        <w:t>211300</w:t>
      </w:r>
      <w:r>
        <w:rPr>
          <w:rFonts w:hint="eastAsia"/>
          <w:sz w:val="30"/>
          <w:szCs w:val="30"/>
        </w:rPr>
        <w:t>元。</w:t>
      </w:r>
    </w:p>
    <w:p w14:paraId="64AC55C7" w14:textId="77777777" w:rsidR="00F335EB" w:rsidRDefault="00F335EB">
      <w:pPr>
        <w:spacing w:line="500" w:lineRule="atLeast"/>
        <w:ind w:firstLine="600"/>
        <w:divId w:val="688726195"/>
        <w:rPr>
          <w:rFonts w:hint="eastAsia"/>
          <w:sz w:val="30"/>
          <w:szCs w:val="30"/>
        </w:rPr>
      </w:pPr>
      <w:r>
        <w:rPr>
          <w:rFonts w:hint="eastAsia"/>
          <w:sz w:val="30"/>
          <w:szCs w:val="30"/>
        </w:rPr>
        <w:t>上述事实，被告人古力文在开庭审理过程中亦无异议，并有证人余某、文某、雷某的证言，广弘国贸的企业登记资料、企业法人营业执照、任职情况说明及职务任免通知，金润公司的营业执照及企业档案登记资料，</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日广弘国贸与金润公司签订的铝锭产品购销合同及重要合同审批表，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日金润公司与广东广弘金属物流有限公司签订的合作框架协议及担保协议，</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广弘国贸与金润公司签订的合作协议，金润公司开出的支票及存根、银行付款凭证，金润公司现金明细账，广州市人民检察院反贪局出具的破案报告，被告人古力文的常住人口信息，被告人古力文的供述等证据证实，足以认定。</w:t>
      </w:r>
    </w:p>
    <w:p w14:paraId="4263A1E3" w14:textId="77777777" w:rsidR="00F335EB" w:rsidRDefault="00F335EB">
      <w:pPr>
        <w:spacing w:line="500" w:lineRule="atLeast"/>
        <w:ind w:firstLine="600"/>
        <w:divId w:val="202714371"/>
        <w:rPr>
          <w:rFonts w:hint="eastAsia"/>
          <w:sz w:val="30"/>
          <w:szCs w:val="30"/>
        </w:rPr>
      </w:pPr>
      <w:r>
        <w:rPr>
          <w:rFonts w:hint="eastAsia"/>
          <w:sz w:val="30"/>
          <w:szCs w:val="30"/>
        </w:rPr>
        <w:t>本院认为，被告人古力文身为在国有公司、企业中从事公务的人员，利用职务上的便利，非法收受他人财物，数额巨大，为他人谋取利益，其行为构成受贿罪。公诉机关的指控事实清楚，证据充分，罪名成立，本院予以支持。被告人古力文犯罪以后主动投案，如实供述自己的罪行，是自首，依法可从轻、减轻处罚。被告人已退缴部分赃款，可酌情从轻处罚。根据被告人的犯罪事实、性质、认罪态度、退赃情况等情节，决定对其减轻处罚，辩护人的相关意见予以采纳。依照《中华人民共和国刑法》第三百八十五条、第三百八十六条、第三百八十三条第一款第（二）项、第六十七条第一款、第五十三条、第六十四条，《最高人民法院、最高人民检察院关于办理贪污贿赂刑事案件适用法律若干问题的解释》第二条第一款、第十九条、第二十条之规定，判决如下：</w:t>
      </w:r>
    </w:p>
    <w:p w14:paraId="03465F34" w14:textId="77777777" w:rsidR="00F335EB" w:rsidRDefault="00F335EB">
      <w:pPr>
        <w:spacing w:line="500" w:lineRule="atLeast"/>
        <w:ind w:firstLine="600"/>
        <w:divId w:val="1560903117"/>
        <w:rPr>
          <w:rFonts w:hint="eastAsia"/>
          <w:sz w:val="30"/>
          <w:szCs w:val="30"/>
        </w:rPr>
      </w:pPr>
      <w:r>
        <w:rPr>
          <w:rFonts w:hint="eastAsia"/>
          <w:sz w:val="30"/>
          <w:szCs w:val="30"/>
        </w:rPr>
        <w:t>一、被告人古力文犯受贿罪，判处有期徒刑二年四个月，并处罚金人民币二十万元。</w:t>
      </w:r>
    </w:p>
    <w:p w14:paraId="3DBF0A49" w14:textId="77777777" w:rsidR="00F335EB" w:rsidRDefault="00F335EB">
      <w:pPr>
        <w:spacing w:line="500" w:lineRule="atLeast"/>
        <w:ind w:firstLine="600"/>
        <w:divId w:val="13285605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日止。罚金应于本判决发生法律效力之次日起五日内向本院一次缴纳）。</w:t>
      </w:r>
    </w:p>
    <w:p w14:paraId="64FA556E" w14:textId="77777777" w:rsidR="00F335EB" w:rsidRDefault="00F335EB">
      <w:pPr>
        <w:spacing w:line="500" w:lineRule="atLeast"/>
        <w:ind w:firstLine="600"/>
        <w:divId w:val="1804080906"/>
        <w:rPr>
          <w:rFonts w:hint="eastAsia"/>
          <w:sz w:val="30"/>
          <w:szCs w:val="30"/>
        </w:rPr>
      </w:pPr>
      <w:r>
        <w:rPr>
          <w:rFonts w:hint="eastAsia"/>
          <w:sz w:val="30"/>
          <w:szCs w:val="30"/>
        </w:rPr>
        <w:t>二、被告人古力文退缴的赃款人民币</w:t>
      </w:r>
      <w:r>
        <w:rPr>
          <w:rFonts w:hint="eastAsia"/>
          <w:sz w:val="30"/>
          <w:szCs w:val="30"/>
        </w:rPr>
        <w:t>211300</w:t>
      </w:r>
      <w:r>
        <w:rPr>
          <w:rFonts w:hint="eastAsia"/>
          <w:sz w:val="30"/>
          <w:szCs w:val="30"/>
        </w:rPr>
        <w:t>元，由本院予以没收、上缴国库。</w:t>
      </w:r>
    </w:p>
    <w:p w14:paraId="72AC55AB" w14:textId="77777777" w:rsidR="00F335EB" w:rsidRDefault="00F335EB">
      <w:pPr>
        <w:spacing w:line="500" w:lineRule="atLeast"/>
        <w:ind w:firstLine="600"/>
        <w:divId w:val="1631398230"/>
        <w:rPr>
          <w:rFonts w:hint="eastAsia"/>
          <w:sz w:val="30"/>
          <w:szCs w:val="30"/>
        </w:rPr>
      </w:pPr>
      <w:r>
        <w:rPr>
          <w:rFonts w:hint="eastAsia"/>
          <w:sz w:val="30"/>
          <w:szCs w:val="30"/>
        </w:rPr>
        <w:t>三、继续追缴被告人古力文的赃款</w:t>
      </w:r>
      <w:r>
        <w:rPr>
          <w:rFonts w:hint="eastAsia"/>
          <w:sz w:val="30"/>
          <w:szCs w:val="30"/>
        </w:rPr>
        <w:t>328700</w:t>
      </w:r>
      <w:r>
        <w:rPr>
          <w:rFonts w:hint="eastAsia"/>
          <w:sz w:val="30"/>
          <w:szCs w:val="30"/>
        </w:rPr>
        <w:t>元予以没收、上缴国库。</w:t>
      </w:r>
    </w:p>
    <w:p w14:paraId="585F72DC" w14:textId="77777777" w:rsidR="00F335EB" w:rsidRDefault="00F335EB">
      <w:pPr>
        <w:spacing w:line="500" w:lineRule="atLeast"/>
        <w:ind w:firstLine="600"/>
        <w:divId w:val="1789465911"/>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60C657EF" w14:textId="77777777" w:rsidR="00F335EB" w:rsidRDefault="00F335EB">
      <w:pPr>
        <w:spacing w:line="500" w:lineRule="atLeast"/>
        <w:jc w:val="right"/>
        <w:divId w:val="1552691877"/>
        <w:rPr>
          <w:rFonts w:hint="eastAsia"/>
          <w:sz w:val="30"/>
          <w:szCs w:val="30"/>
        </w:rPr>
      </w:pPr>
      <w:r>
        <w:rPr>
          <w:rFonts w:hint="eastAsia"/>
          <w:sz w:val="30"/>
          <w:szCs w:val="30"/>
        </w:rPr>
        <w:t>审　判　长　　朱永娟</w:t>
      </w:r>
    </w:p>
    <w:p w14:paraId="342848E3" w14:textId="77777777" w:rsidR="00F335EB" w:rsidRDefault="00F335EB">
      <w:pPr>
        <w:spacing w:line="500" w:lineRule="atLeast"/>
        <w:jc w:val="right"/>
        <w:divId w:val="1797790125"/>
        <w:rPr>
          <w:rFonts w:hint="eastAsia"/>
          <w:sz w:val="30"/>
          <w:szCs w:val="30"/>
        </w:rPr>
      </w:pPr>
      <w:r>
        <w:rPr>
          <w:rFonts w:hint="eastAsia"/>
          <w:sz w:val="30"/>
          <w:szCs w:val="30"/>
        </w:rPr>
        <w:t>人民陪审员　　刘冠南</w:t>
      </w:r>
    </w:p>
    <w:p w14:paraId="0880F6DF" w14:textId="77777777" w:rsidR="00F335EB" w:rsidRDefault="00F335EB">
      <w:pPr>
        <w:spacing w:line="500" w:lineRule="atLeast"/>
        <w:jc w:val="right"/>
        <w:divId w:val="309873125"/>
        <w:rPr>
          <w:rFonts w:hint="eastAsia"/>
          <w:sz w:val="30"/>
          <w:szCs w:val="30"/>
        </w:rPr>
      </w:pPr>
      <w:r>
        <w:rPr>
          <w:rFonts w:hint="eastAsia"/>
          <w:sz w:val="30"/>
          <w:szCs w:val="30"/>
        </w:rPr>
        <w:t>人民陪审员　　刘耀邦</w:t>
      </w:r>
    </w:p>
    <w:p w14:paraId="568B8AA6" w14:textId="77777777" w:rsidR="00F335EB" w:rsidRDefault="00F335EB">
      <w:pPr>
        <w:spacing w:line="500" w:lineRule="atLeast"/>
        <w:jc w:val="right"/>
        <w:divId w:val="1683966591"/>
        <w:rPr>
          <w:rFonts w:hint="eastAsia"/>
          <w:sz w:val="30"/>
          <w:szCs w:val="30"/>
        </w:rPr>
      </w:pPr>
      <w:r>
        <w:rPr>
          <w:rFonts w:hint="eastAsia"/>
          <w:sz w:val="30"/>
          <w:szCs w:val="30"/>
        </w:rPr>
        <w:t>二〇一七年十二月十九日</w:t>
      </w:r>
    </w:p>
    <w:p w14:paraId="4252E0A4" w14:textId="77777777" w:rsidR="00F335EB" w:rsidRDefault="00F335EB">
      <w:pPr>
        <w:spacing w:line="500" w:lineRule="atLeast"/>
        <w:jc w:val="right"/>
        <w:divId w:val="1993630602"/>
        <w:rPr>
          <w:rFonts w:hint="eastAsia"/>
          <w:sz w:val="30"/>
          <w:szCs w:val="30"/>
        </w:rPr>
      </w:pPr>
      <w:r>
        <w:rPr>
          <w:rFonts w:hint="eastAsia"/>
          <w:sz w:val="30"/>
          <w:szCs w:val="30"/>
        </w:rPr>
        <w:t>书　记　员　　徐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3EA67" w14:textId="77777777" w:rsidR="00F335EB" w:rsidRDefault="00F335EB" w:rsidP="00F335EB">
      <w:pPr>
        <w:rPr>
          <w:rFonts w:hint="eastAsia"/>
        </w:rPr>
      </w:pPr>
      <w:r>
        <w:separator/>
      </w:r>
    </w:p>
  </w:endnote>
  <w:endnote w:type="continuationSeparator" w:id="0">
    <w:p w14:paraId="3DAA0305" w14:textId="77777777" w:rsidR="00F335EB" w:rsidRDefault="00F335EB" w:rsidP="00F335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6885D" w14:textId="77777777" w:rsidR="00F335EB" w:rsidRDefault="00F335EB" w:rsidP="00F335EB">
      <w:pPr>
        <w:rPr>
          <w:rFonts w:hint="eastAsia"/>
        </w:rPr>
      </w:pPr>
      <w:r>
        <w:separator/>
      </w:r>
    </w:p>
  </w:footnote>
  <w:footnote w:type="continuationSeparator" w:id="0">
    <w:p w14:paraId="395F7182" w14:textId="77777777" w:rsidR="00F335EB" w:rsidRDefault="00F335EB" w:rsidP="00F335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35EB"/>
    <w:rsid w:val="0062637E"/>
    <w:rsid w:val="00F33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13B7CE"/>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35EB"/>
    <w:pPr>
      <w:tabs>
        <w:tab w:val="center" w:pos="4153"/>
        <w:tab w:val="right" w:pos="8306"/>
      </w:tabs>
      <w:snapToGrid w:val="0"/>
      <w:jc w:val="center"/>
    </w:pPr>
    <w:rPr>
      <w:sz w:val="18"/>
      <w:szCs w:val="18"/>
    </w:rPr>
  </w:style>
  <w:style w:type="character" w:customStyle="1" w:styleId="a4">
    <w:name w:val="页眉 字符"/>
    <w:basedOn w:val="a0"/>
    <w:link w:val="a3"/>
    <w:uiPriority w:val="99"/>
    <w:rsid w:val="00F335EB"/>
    <w:rPr>
      <w:rFonts w:ascii="宋体" w:eastAsia="宋体" w:hAnsi="宋体" w:cs="宋体"/>
      <w:sz w:val="18"/>
      <w:szCs w:val="18"/>
    </w:rPr>
  </w:style>
  <w:style w:type="paragraph" w:styleId="a5">
    <w:name w:val="footer"/>
    <w:basedOn w:val="a"/>
    <w:link w:val="a6"/>
    <w:uiPriority w:val="99"/>
    <w:unhideWhenUsed/>
    <w:rsid w:val="00F335EB"/>
    <w:pPr>
      <w:tabs>
        <w:tab w:val="center" w:pos="4153"/>
        <w:tab w:val="right" w:pos="8306"/>
      </w:tabs>
      <w:snapToGrid w:val="0"/>
    </w:pPr>
    <w:rPr>
      <w:sz w:val="18"/>
      <w:szCs w:val="18"/>
    </w:rPr>
  </w:style>
  <w:style w:type="character" w:customStyle="1" w:styleId="a6">
    <w:name w:val="页脚 字符"/>
    <w:basedOn w:val="a0"/>
    <w:link w:val="a5"/>
    <w:uiPriority w:val="99"/>
    <w:rsid w:val="00F335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6762">
      <w:marLeft w:val="0"/>
      <w:marRight w:val="0"/>
      <w:marTop w:val="10"/>
      <w:marBottom w:val="10"/>
      <w:divBdr>
        <w:top w:val="none" w:sz="0" w:space="0" w:color="auto"/>
        <w:left w:val="none" w:sz="0" w:space="0" w:color="auto"/>
        <w:bottom w:val="none" w:sz="0" w:space="0" w:color="auto"/>
        <w:right w:val="none" w:sz="0" w:space="0" w:color="auto"/>
      </w:divBdr>
    </w:div>
    <w:div w:id="29184116">
      <w:marLeft w:val="0"/>
      <w:marRight w:val="0"/>
      <w:marTop w:val="10"/>
      <w:marBottom w:val="10"/>
      <w:divBdr>
        <w:top w:val="none" w:sz="0" w:space="0" w:color="auto"/>
        <w:left w:val="none" w:sz="0" w:space="0" w:color="auto"/>
        <w:bottom w:val="none" w:sz="0" w:space="0" w:color="auto"/>
        <w:right w:val="none" w:sz="0" w:space="0" w:color="auto"/>
      </w:divBdr>
    </w:div>
    <w:div w:id="109201487">
      <w:marLeft w:val="0"/>
      <w:marRight w:val="0"/>
      <w:marTop w:val="10"/>
      <w:marBottom w:val="10"/>
      <w:divBdr>
        <w:top w:val="none" w:sz="0" w:space="0" w:color="auto"/>
        <w:left w:val="none" w:sz="0" w:space="0" w:color="auto"/>
        <w:bottom w:val="none" w:sz="0" w:space="0" w:color="auto"/>
        <w:right w:val="none" w:sz="0" w:space="0" w:color="auto"/>
      </w:divBdr>
    </w:div>
    <w:div w:id="113211726">
      <w:marLeft w:val="0"/>
      <w:marRight w:val="0"/>
      <w:marTop w:val="10"/>
      <w:marBottom w:val="10"/>
      <w:divBdr>
        <w:top w:val="none" w:sz="0" w:space="0" w:color="auto"/>
        <w:left w:val="none" w:sz="0" w:space="0" w:color="auto"/>
        <w:bottom w:val="none" w:sz="0" w:space="0" w:color="auto"/>
        <w:right w:val="none" w:sz="0" w:space="0" w:color="auto"/>
      </w:divBdr>
    </w:div>
    <w:div w:id="197353033">
      <w:marLeft w:val="0"/>
      <w:marRight w:val="0"/>
      <w:marTop w:val="10"/>
      <w:marBottom w:val="10"/>
      <w:divBdr>
        <w:top w:val="none" w:sz="0" w:space="0" w:color="auto"/>
        <w:left w:val="none" w:sz="0" w:space="0" w:color="auto"/>
        <w:bottom w:val="none" w:sz="0" w:space="0" w:color="auto"/>
        <w:right w:val="none" w:sz="0" w:space="0" w:color="auto"/>
      </w:divBdr>
    </w:div>
    <w:div w:id="202714371">
      <w:marLeft w:val="0"/>
      <w:marRight w:val="0"/>
      <w:marTop w:val="10"/>
      <w:marBottom w:val="10"/>
      <w:divBdr>
        <w:top w:val="none" w:sz="0" w:space="0" w:color="auto"/>
        <w:left w:val="none" w:sz="0" w:space="0" w:color="auto"/>
        <w:bottom w:val="none" w:sz="0" w:space="0" w:color="auto"/>
        <w:right w:val="none" w:sz="0" w:space="0" w:color="auto"/>
      </w:divBdr>
    </w:div>
    <w:div w:id="309873125">
      <w:marLeft w:val="0"/>
      <w:marRight w:val="720"/>
      <w:marTop w:val="10"/>
      <w:marBottom w:val="10"/>
      <w:divBdr>
        <w:top w:val="none" w:sz="0" w:space="0" w:color="auto"/>
        <w:left w:val="none" w:sz="0" w:space="0" w:color="auto"/>
        <w:bottom w:val="none" w:sz="0" w:space="0" w:color="auto"/>
        <w:right w:val="none" w:sz="0" w:space="0" w:color="auto"/>
      </w:divBdr>
    </w:div>
    <w:div w:id="688726195">
      <w:marLeft w:val="0"/>
      <w:marRight w:val="0"/>
      <w:marTop w:val="10"/>
      <w:marBottom w:val="10"/>
      <w:divBdr>
        <w:top w:val="none" w:sz="0" w:space="0" w:color="auto"/>
        <w:left w:val="none" w:sz="0" w:space="0" w:color="auto"/>
        <w:bottom w:val="none" w:sz="0" w:space="0" w:color="auto"/>
        <w:right w:val="none" w:sz="0" w:space="0" w:color="auto"/>
      </w:divBdr>
    </w:div>
    <w:div w:id="693071606">
      <w:marLeft w:val="0"/>
      <w:marRight w:val="0"/>
      <w:marTop w:val="10"/>
      <w:marBottom w:val="10"/>
      <w:divBdr>
        <w:top w:val="none" w:sz="0" w:space="0" w:color="auto"/>
        <w:left w:val="none" w:sz="0" w:space="0" w:color="auto"/>
        <w:bottom w:val="none" w:sz="0" w:space="0" w:color="auto"/>
        <w:right w:val="none" w:sz="0" w:space="0" w:color="auto"/>
      </w:divBdr>
    </w:div>
    <w:div w:id="721754834">
      <w:marLeft w:val="0"/>
      <w:marRight w:val="0"/>
      <w:marTop w:val="10"/>
      <w:marBottom w:val="10"/>
      <w:divBdr>
        <w:top w:val="none" w:sz="0" w:space="0" w:color="auto"/>
        <w:left w:val="none" w:sz="0" w:space="0" w:color="auto"/>
        <w:bottom w:val="none" w:sz="0" w:space="0" w:color="auto"/>
        <w:right w:val="none" w:sz="0" w:space="0" w:color="auto"/>
      </w:divBdr>
    </w:div>
    <w:div w:id="932906139">
      <w:marLeft w:val="0"/>
      <w:marRight w:val="0"/>
      <w:marTop w:val="10"/>
      <w:marBottom w:val="10"/>
      <w:divBdr>
        <w:top w:val="none" w:sz="0" w:space="0" w:color="auto"/>
        <w:left w:val="none" w:sz="0" w:space="0" w:color="auto"/>
        <w:bottom w:val="none" w:sz="0" w:space="0" w:color="auto"/>
        <w:right w:val="none" w:sz="0" w:space="0" w:color="auto"/>
      </w:divBdr>
    </w:div>
    <w:div w:id="993723749">
      <w:marLeft w:val="0"/>
      <w:marRight w:val="0"/>
      <w:marTop w:val="10"/>
      <w:marBottom w:val="10"/>
      <w:divBdr>
        <w:top w:val="none" w:sz="0" w:space="0" w:color="auto"/>
        <w:left w:val="none" w:sz="0" w:space="0" w:color="auto"/>
        <w:bottom w:val="none" w:sz="0" w:space="0" w:color="auto"/>
        <w:right w:val="none" w:sz="0" w:space="0" w:color="auto"/>
      </w:divBdr>
    </w:div>
    <w:div w:id="1216048196">
      <w:marLeft w:val="0"/>
      <w:marRight w:val="0"/>
      <w:marTop w:val="10"/>
      <w:marBottom w:val="10"/>
      <w:divBdr>
        <w:top w:val="none" w:sz="0" w:space="0" w:color="auto"/>
        <w:left w:val="none" w:sz="0" w:space="0" w:color="auto"/>
        <w:bottom w:val="none" w:sz="0" w:space="0" w:color="auto"/>
        <w:right w:val="none" w:sz="0" w:space="0" w:color="auto"/>
      </w:divBdr>
    </w:div>
    <w:div w:id="1283151993">
      <w:marLeft w:val="0"/>
      <w:marRight w:val="0"/>
      <w:marTop w:val="10"/>
      <w:marBottom w:val="10"/>
      <w:divBdr>
        <w:top w:val="none" w:sz="0" w:space="0" w:color="auto"/>
        <w:left w:val="none" w:sz="0" w:space="0" w:color="auto"/>
        <w:bottom w:val="none" w:sz="0" w:space="0" w:color="auto"/>
        <w:right w:val="none" w:sz="0" w:space="0" w:color="auto"/>
      </w:divBdr>
    </w:div>
    <w:div w:id="1328560572">
      <w:marLeft w:val="0"/>
      <w:marRight w:val="0"/>
      <w:marTop w:val="10"/>
      <w:marBottom w:val="10"/>
      <w:divBdr>
        <w:top w:val="none" w:sz="0" w:space="0" w:color="auto"/>
        <w:left w:val="none" w:sz="0" w:space="0" w:color="auto"/>
        <w:bottom w:val="none" w:sz="0" w:space="0" w:color="auto"/>
        <w:right w:val="none" w:sz="0" w:space="0" w:color="auto"/>
      </w:divBdr>
    </w:div>
    <w:div w:id="1547178130">
      <w:marLeft w:val="0"/>
      <w:marRight w:val="0"/>
      <w:marTop w:val="10"/>
      <w:marBottom w:val="10"/>
      <w:divBdr>
        <w:top w:val="none" w:sz="0" w:space="0" w:color="auto"/>
        <w:left w:val="none" w:sz="0" w:space="0" w:color="auto"/>
        <w:bottom w:val="none" w:sz="0" w:space="0" w:color="auto"/>
        <w:right w:val="none" w:sz="0" w:space="0" w:color="auto"/>
      </w:divBdr>
    </w:div>
    <w:div w:id="1552691877">
      <w:marLeft w:val="0"/>
      <w:marRight w:val="720"/>
      <w:marTop w:val="10"/>
      <w:marBottom w:val="10"/>
      <w:divBdr>
        <w:top w:val="none" w:sz="0" w:space="0" w:color="auto"/>
        <w:left w:val="none" w:sz="0" w:space="0" w:color="auto"/>
        <w:bottom w:val="none" w:sz="0" w:space="0" w:color="auto"/>
        <w:right w:val="none" w:sz="0" w:space="0" w:color="auto"/>
      </w:divBdr>
    </w:div>
    <w:div w:id="1560903117">
      <w:marLeft w:val="0"/>
      <w:marRight w:val="0"/>
      <w:marTop w:val="10"/>
      <w:marBottom w:val="10"/>
      <w:divBdr>
        <w:top w:val="none" w:sz="0" w:space="0" w:color="auto"/>
        <w:left w:val="none" w:sz="0" w:space="0" w:color="auto"/>
        <w:bottom w:val="none" w:sz="0" w:space="0" w:color="auto"/>
        <w:right w:val="none" w:sz="0" w:space="0" w:color="auto"/>
      </w:divBdr>
    </w:div>
    <w:div w:id="1631398230">
      <w:marLeft w:val="0"/>
      <w:marRight w:val="0"/>
      <w:marTop w:val="10"/>
      <w:marBottom w:val="10"/>
      <w:divBdr>
        <w:top w:val="none" w:sz="0" w:space="0" w:color="auto"/>
        <w:left w:val="none" w:sz="0" w:space="0" w:color="auto"/>
        <w:bottom w:val="none" w:sz="0" w:space="0" w:color="auto"/>
        <w:right w:val="none" w:sz="0" w:space="0" w:color="auto"/>
      </w:divBdr>
    </w:div>
    <w:div w:id="1683966591">
      <w:marLeft w:val="0"/>
      <w:marRight w:val="720"/>
      <w:marTop w:val="10"/>
      <w:marBottom w:val="10"/>
      <w:divBdr>
        <w:top w:val="none" w:sz="0" w:space="0" w:color="auto"/>
        <w:left w:val="none" w:sz="0" w:space="0" w:color="auto"/>
        <w:bottom w:val="none" w:sz="0" w:space="0" w:color="auto"/>
        <w:right w:val="none" w:sz="0" w:space="0" w:color="auto"/>
      </w:divBdr>
    </w:div>
    <w:div w:id="1789465911">
      <w:marLeft w:val="0"/>
      <w:marRight w:val="0"/>
      <w:marTop w:val="10"/>
      <w:marBottom w:val="10"/>
      <w:divBdr>
        <w:top w:val="none" w:sz="0" w:space="0" w:color="auto"/>
        <w:left w:val="none" w:sz="0" w:space="0" w:color="auto"/>
        <w:bottom w:val="none" w:sz="0" w:space="0" w:color="auto"/>
        <w:right w:val="none" w:sz="0" w:space="0" w:color="auto"/>
      </w:divBdr>
    </w:div>
    <w:div w:id="1797790125">
      <w:marLeft w:val="0"/>
      <w:marRight w:val="720"/>
      <w:marTop w:val="10"/>
      <w:marBottom w:val="10"/>
      <w:divBdr>
        <w:top w:val="none" w:sz="0" w:space="0" w:color="auto"/>
        <w:left w:val="none" w:sz="0" w:space="0" w:color="auto"/>
        <w:bottom w:val="none" w:sz="0" w:space="0" w:color="auto"/>
        <w:right w:val="none" w:sz="0" w:space="0" w:color="auto"/>
      </w:divBdr>
    </w:div>
    <w:div w:id="1804080906">
      <w:marLeft w:val="0"/>
      <w:marRight w:val="0"/>
      <w:marTop w:val="10"/>
      <w:marBottom w:val="10"/>
      <w:divBdr>
        <w:top w:val="none" w:sz="0" w:space="0" w:color="auto"/>
        <w:left w:val="none" w:sz="0" w:space="0" w:color="auto"/>
        <w:bottom w:val="none" w:sz="0" w:space="0" w:color="auto"/>
        <w:right w:val="none" w:sz="0" w:space="0" w:color="auto"/>
      </w:divBdr>
    </w:div>
    <w:div w:id="1973556114">
      <w:marLeft w:val="0"/>
      <w:marRight w:val="0"/>
      <w:marTop w:val="10"/>
      <w:marBottom w:val="10"/>
      <w:divBdr>
        <w:top w:val="none" w:sz="0" w:space="0" w:color="auto"/>
        <w:left w:val="none" w:sz="0" w:space="0" w:color="auto"/>
        <w:bottom w:val="none" w:sz="0" w:space="0" w:color="auto"/>
        <w:right w:val="none" w:sz="0" w:space="0" w:color="auto"/>
      </w:divBdr>
    </w:div>
    <w:div w:id="199363060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