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0019" w14:textId="77777777" w:rsidR="0055089E" w:rsidRDefault="0055089E">
      <w:pPr>
        <w:spacing w:line="500" w:lineRule="atLeast"/>
        <w:jc w:val="center"/>
        <w:divId w:val="863206072"/>
        <w:rPr>
          <w:rFonts w:ascii="黑体" w:eastAsia="黑体" w:hAnsi="黑体"/>
          <w:sz w:val="36"/>
          <w:szCs w:val="36"/>
        </w:rPr>
      </w:pPr>
      <w:r>
        <w:rPr>
          <w:rFonts w:ascii="黑体" w:eastAsia="黑体" w:hAnsi="黑体" w:hint="eastAsia"/>
          <w:sz w:val="36"/>
          <w:szCs w:val="36"/>
        </w:rPr>
        <w:t>广东省中山市第一人民法院</w:t>
      </w:r>
    </w:p>
    <w:p w14:paraId="2DEE9B18" w14:textId="77777777" w:rsidR="0055089E" w:rsidRDefault="0055089E">
      <w:pPr>
        <w:spacing w:line="500" w:lineRule="atLeast"/>
        <w:jc w:val="center"/>
        <w:divId w:val="248275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C0C3A8" w14:textId="77777777" w:rsidR="0055089E" w:rsidRDefault="0055089E">
      <w:pPr>
        <w:spacing w:line="500" w:lineRule="atLeast"/>
        <w:jc w:val="right"/>
        <w:divId w:val="11961159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2710</w:t>
      </w:r>
      <w:r>
        <w:rPr>
          <w:rFonts w:hint="eastAsia"/>
          <w:sz w:val="30"/>
          <w:szCs w:val="30"/>
        </w:rPr>
        <w:t>号</w:t>
      </w:r>
    </w:p>
    <w:p w14:paraId="3F1ED900" w14:textId="77777777" w:rsidR="0055089E" w:rsidRDefault="0055089E">
      <w:pPr>
        <w:spacing w:line="500" w:lineRule="atLeast"/>
        <w:ind w:firstLine="600"/>
        <w:divId w:val="1603800693"/>
        <w:rPr>
          <w:rFonts w:hint="eastAsia"/>
          <w:sz w:val="30"/>
          <w:szCs w:val="30"/>
        </w:rPr>
      </w:pPr>
      <w:r>
        <w:rPr>
          <w:rFonts w:hint="eastAsia"/>
          <w:sz w:val="30"/>
          <w:szCs w:val="30"/>
        </w:rPr>
        <w:t>公诉机关中山市第一市区人民检察院。</w:t>
      </w:r>
    </w:p>
    <w:p w14:paraId="1D77AE18" w14:textId="77777777" w:rsidR="0055089E" w:rsidRDefault="0055089E">
      <w:pPr>
        <w:spacing w:line="500" w:lineRule="atLeast"/>
        <w:ind w:firstLine="600"/>
        <w:divId w:val="836842856"/>
        <w:rPr>
          <w:rFonts w:hint="eastAsia"/>
          <w:sz w:val="30"/>
          <w:szCs w:val="30"/>
        </w:rPr>
      </w:pPr>
      <w:r>
        <w:rPr>
          <w:rFonts w:hint="eastAsia"/>
          <w:sz w:val="30"/>
          <w:szCs w:val="30"/>
        </w:rPr>
        <w:t>被告人吴顺添，男，</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日出生广东省中山市，汉族，初中文化，无业，户籍所在地中山市之一（以上均为自报）。因本案于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日被逮捕。现押于中山市看守所。</w:t>
      </w:r>
    </w:p>
    <w:p w14:paraId="135E8113" w14:textId="77777777" w:rsidR="0055089E" w:rsidRDefault="0055089E">
      <w:pPr>
        <w:spacing w:line="500" w:lineRule="atLeast"/>
        <w:ind w:firstLine="600"/>
        <w:divId w:val="2132435242"/>
        <w:rPr>
          <w:rFonts w:hint="eastAsia"/>
          <w:sz w:val="30"/>
          <w:szCs w:val="30"/>
        </w:rPr>
      </w:pPr>
      <w:r>
        <w:rPr>
          <w:rFonts w:hint="eastAsia"/>
          <w:sz w:val="30"/>
          <w:szCs w:val="30"/>
        </w:rPr>
        <w:t>辩护人杜倩平，广东正鸿律师事务所律师。</w:t>
      </w:r>
    </w:p>
    <w:p w14:paraId="2B8A6BC7" w14:textId="77777777" w:rsidR="0055089E" w:rsidRDefault="0055089E">
      <w:pPr>
        <w:spacing w:line="500" w:lineRule="atLeast"/>
        <w:ind w:firstLine="600"/>
        <w:divId w:val="918825345"/>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2636</w:t>
      </w:r>
      <w:r>
        <w:rPr>
          <w:rFonts w:hint="eastAsia"/>
          <w:sz w:val="30"/>
          <w:szCs w:val="30"/>
        </w:rPr>
        <w:t>号起诉书指控被告人吴顺添犯行贿罪，于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日向本院提起公诉。本院依法组成合议庭，公开开庭审理了本案。中山市第一市区人民检察院指派检察员周宇航出庭支持公诉，被告人吴顺添及其辩护人杜倩平均到庭参加诉讼。现已审理终结。</w:t>
      </w:r>
    </w:p>
    <w:p w14:paraId="78557BC5" w14:textId="77777777" w:rsidR="0055089E" w:rsidRDefault="0055089E">
      <w:pPr>
        <w:spacing w:line="500" w:lineRule="atLeast"/>
        <w:divId w:val="1523744252"/>
        <w:rPr>
          <w:rFonts w:hint="eastAsia"/>
          <w:sz w:val="30"/>
          <w:szCs w:val="30"/>
        </w:rPr>
      </w:pPr>
      <w:r>
        <w:rPr>
          <w:rFonts w:hint="eastAsia"/>
          <w:sz w:val="30"/>
          <w:szCs w:val="30"/>
        </w:rPr>
        <w:t>经审理查明：</w:t>
      </w:r>
    </w:p>
    <w:p w14:paraId="027A238A" w14:textId="77777777" w:rsidR="0055089E" w:rsidRDefault="0055089E">
      <w:pPr>
        <w:spacing w:line="500" w:lineRule="atLeast"/>
        <w:ind w:firstLine="600"/>
        <w:divId w:val="1593388891"/>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吴顺添分别请托中山市公安局横栏分局交警大队辅警吴某和中山市公安局南朗分局交警大队辅警谭某（均另案起诉）帮助其违规办理机动车交通违章扣分、销分业务，后多次向吴某、谭某行贿，数额共计人民币</w:t>
      </w:r>
      <w:r>
        <w:rPr>
          <w:rFonts w:hint="eastAsia"/>
          <w:sz w:val="30"/>
          <w:szCs w:val="30"/>
        </w:rPr>
        <w:t>259305</w:t>
      </w:r>
      <w:r>
        <w:rPr>
          <w:rFonts w:hint="eastAsia"/>
          <w:sz w:val="30"/>
          <w:szCs w:val="30"/>
        </w:rPr>
        <w:t>元。具体事实如下：</w:t>
      </w:r>
    </w:p>
    <w:p w14:paraId="22B2190F" w14:textId="77777777" w:rsidR="0055089E" w:rsidRDefault="0055089E">
      <w:pPr>
        <w:spacing w:line="500" w:lineRule="atLeast"/>
        <w:ind w:firstLine="600"/>
        <w:divId w:val="1305620490"/>
        <w:rPr>
          <w:rFonts w:hint="eastAsia"/>
          <w:sz w:val="30"/>
          <w:szCs w:val="30"/>
        </w:rPr>
      </w:pPr>
      <w:r>
        <w:rPr>
          <w:rFonts w:hint="eastAsia"/>
          <w:sz w:val="30"/>
          <w:szCs w:val="30"/>
        </w:rPr>
        <w:t>1.2017</w:t>
      </w:r>
      <w:r>
        <w:rPr>
          <w:rFonts w:hint="eastAsia"/>
          <w:sz w:val="30"/>
          <w:szCs w:val="30"/>
        </w:rPr>
        <w:t>年</w:t>
      </w:r>
      <w:r>
        <w:rPr>
          <w:rFonts w:hint="eastAsia"/>
          <w:sz w:val="30"/>
          <w:szCs w:val="30"/>
        </w:rPr>
        <w:t>9</w:t>
      </w:r>
      <w:r>
        <w:rPr>
          <w:rFonts w:hint="eastAsia"/>
          <w:sz w:val="30"/>
          <w:szCs w:val="30"/>
        </w:rPr>
        <w:t>月，被告人吴顺添得知吴某具有协助办理交通违法业务的职权后，向吴某请托为其违规处理交通违法业务，并约定在被告人吴顺添通过手机微信将交通违章处理的相关信息发给吴某后，吴某利用其职务便利帮助办理。每办妥</w:t>
      </w:r>
      <w:r>
        <w:rPr>
          <w:rFonts w:hint="eastAsia"/>
          <w:sz w:val="30"/>
          <w:szCs w:val="30"/>
        </w:rPr>
        <w:t>1</w:t>
      </w:r>
      <w:r>
        <w:rPr>
          <w:rFonts w:hint="eastAsia"/>
          <w:sz w:val="30"/>
          <w:szCs w:val="30"/>
        </w:rPr>
        <w:t>分违章扣分业务，被告人吴顺添须向吴某支付好处费人民币</w:t>
      </w:r>
      <w:r>
        <w:rPr>
          <w:rFonts w:hint="eastAsia"/>
          <w:sz w:val="30"/>
          <w:szCs w:val="30"/>
        </w:rPr>
        <w:t>30</w:t>
      </w:r>
      <w:r>
        <w:rPr>
          <w:rFonts w:hint="eastAsia"/>
          <w:sz w:val="30"/>
          <w:szCs w:val="30"/>
        </w:rPr>
        <w:t>元。经查明，在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月期间，被告人吴顺添向</w:t>
      </w:r>
      <w:r>
        <w:rPr>
          <w:rFonts w:hint="eastAsia"/>
          <w:sz w:val="30"/>
          <w:szCs w:val="30"/>
        </w:rPr>
        <w:lastRenderedPageBreak/>
        <w:t>吴某多次转账支付好处费，数额共计人民币</w:t>
      </w:r>
      <w:r>
        <w:rPr>
          <w:rFonts w:hint="eastAsia"/>
          <w:sz w:val="30"/>
          <w:szCs w:val="30"/>
        </w:rPr>
        <w:t>117410</w:t>
      </w:r>
      <w:r>
        <w:rPr>
          <w:rFonts w:hint="eastAsia"/>
          <w:sz w:val="30"/>
          <w:szCs w:val="30"/>
        </w:rPr>
        <w:t>元。其中，因未办妥部分销分业务，吴某将预收的人民币</w:t>
      </w:r>
      <w:r>
        <w:rPr>
          <w:rFonts w:hint="eastAsia"/>
          <w:sz w:val="30"/>
          <w:szCs w:val="30"/>
        </w:rPr>
        <w:t>12000</w:t>
      </w:r>
      <w:r>
        <w:rPr>
          <w:rFonts w:hint="eastAsia"/>
          <w:sz w:val="30"/>
          <w:szCs w:val="30"/>
        </w:rPr>
        <w:t>元通过微信转账退还被告人吴顺添。</w:t>
      </w:r>
    </w:p>
    <w:p w14:paraId="25782992" w14:textId="77777777" w:rsidR="0055089E" w:rsidRDefault="0055089E">
      <w:pPr>
        <w:spacing w:line="500" w:lineRule="atLeast"/>
        <w:ind w:firstLine="600"/>
        <w:divId w:val="1953315518"/>
        <w:rPr>
          <w:rFonts w:hint="eastAsia"/>
          <w:sz w:val="30"/>
          <w:szCs w:val="30"/>
        </w:rPr>
      </w:pPr>
      <w:r>
        <w:rPr>
          <w:rFonts w:hint="eastAsia"/>
          <w:sz w:val="30"/>
          <w:szCs w:val="30"/>
        </w:rPr>
        <w:t>2.2017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月期间，被告人吴顺添得知谭某具有协助办理交通违法业务的职权后，以上述相同方式与谭某共谋违法办理交通违章业务，并约定在每办妥消除</w:t>
      </w:r>
      <w:r>
        <w:rPr>
          <w:rFonts w:hint="eastAsia"/>
          <w:sz w:val="30"/>
          <w:szCs w:val="30"/>
        </w:rPr>
        <w:t>1</w:t>
      </w:r>
      <w:r>
        <w:rPr>
          <w:rFonts w:hint="eastAsia"/>
          <w:sz w:val="30"/>
          <w:szCs w:val="30"/>
        </w:rPr>
        <w:t>分违章扣分后，被告人吴顺添须向谭某支付好处费人民币</w:t>
      </w:r>
      <w:r>
        <w:rPr>
          <w:rFonts w:hint="eastAsia"/>
          <w:sz w:val="30"/>
          <w:szCs w:val="30"/>
        </w:rPr>
        <w:t>25</w:t>
      </w:r>
      <w:r>
        <w:rPr>
          <w:rFonts w:hint="eastAsia"/>
          <w:sz w:val="30"/>
          <w:szCs w:val="30"/>
        </w:rPr>
        <w:t>元。经查明，在案发期间，被告人吴顺添向谭某多次转账支付好处费，数额共计人民币</w:t>
      </w:r>
      <w:r>
        <w:rPr>
          <w:rFonts w:hint="eastAsia"/>
          <w:sz w:val="30"/>
          <w:szCs w:val="30"/>
        </w:rPr>
        <w:t>153895</w:t>
      </w:r>
      <w:r>
        <w:rPr>
          <w:rFonts w:hint="eastAsia"/>
          <w:sz w:val="30"/>
          <w:szCs w:val="30"/>
        </w:rPr>
        <w:t>元。</w:t>
      </w:r>
    </w:p>
    <w:p w14:paraId="0DDF9DB5" w14:textId="77777777" w:rsidR="0055089E" w:rsidRDefault="0055089E">
      <w:pPr>
        <w:spacing w:line="500" w:lineRule="atLeast"/>
        <w:ind w:firstLine="600"/>
        <w:divId w:val="313993138"/>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日，被告人吴顺添在中山市石岐区孙某路被公安民警带回调查。归案后，被告人吴顺添如实供述了上述事实。</w:t>
      </w:r>
    </w:p>
    <w:p w14:paraId="56B1F029" w14:textId="77777777" w:rsidR="0055089E" w:rsidRDefault="0055089E">
      <w:pPr>
        <w:spacing w:line="500" w:lineRule="atLeast"/>
        <w:ind w:firstLine="600"/>
        <w:divId w:val="2020111939"/>
        <w:rPr>
          <w:rFonts w:hint="eastAsia"/>
          <w:sz w:val="30"/>
          <w:szCs w:val="30"/>
        </w:rPr>
      </w:pPr>
      <w:r>
        <w:rPr>
          <w:rFonts w:hint="eastAsia"/>
          <w:sz w:val="30"/>
          <w:szCs w:val="30"/>
        </w:rPr>
        <w:t>上述事实，被告人吴顺添在开庭审理过程中亦无异议，并有中山市公安局的抓获经过、涉嫌职务犯罪移送函、中共中山市纪委监委驻中山市纪检监察组的情况说明、工作证明、涉案银行的开户资料及流水明细、证人吴某、谭某的证言、被告人吴顺添的供述等证据证实，足以认定。</w:t>
      </w:r>
    </w:p>
    <w:p w14:paraId="035732B5" w14:textId="77777777" w:rsidR="0055089E" w:rsidRDefault="0055089E">
      <w:pPr>
        <w:spacing w:line="500" w:lineRule="atLeast"/>
        <w:ind w:firstLine="600"/>
        <w:divId w:val="85074412"/>
        <w:rPr>
          <w:rFonts w:hint="eastAsia"/>
          <w:sz w:val="30"/>
          <w:szCs w:val="30"/>
        </w:rPr>
      </w:pPr>
      <w:r>
        <w:rPr>
          <w:rFonts w:hint="eastAsia"/>
          <w:sz w:val="30"/>
          <w:szCs w:val="30"/>
        </w:rPr>
        <w:t>本院认为，被告人吴顺添无视国家法律，为谋取不正当利益，给予国家工作人员以财物，其行为已构成行贿罪，应依法惩处。被告人吴顺添归案后如实供述自己的罪行，依法可以从轻处罚。公诉机关指控被告人吴顺添犯行贿罪的事实清楚，证据确实、充分，罪名成立，本院予以支持。但根据相关司法解释规定，其犯罪数额尚未达“情节严重”，对于指控其行贿“数额较大”，本院不予支持。辩护人所提吴顺添无犯罪前科、归案后坦白自己的罪行的意见经查属实，予以采纳。依照《中华人民共和国刑法》第三百八十九条第一款、第三百九十条第一款、第六十七条第三款及《最高人民法院、最高人民检察院关于办理贪污贿赂刑事案件适用法律若干问题的解释》第七条第一款之规定，判决如下：</w:t>
      </w:r>
    </w:p>
    <w:p w14:paraId="43410D1D" w14:textId="77777777" w:rsidR="0055089E" w:rsidRDefault="0055089E">
      <w:pPr>
        <w:spacing w:line="500" w:lineRule="atLeast"/>
        <w:ind w:firstLine="600"/>
        <w:divId w:val="1516112982"/>
        <w:rPr>
          <w:rFonts w:hint="eastAsia"/>
          <w:sz w:val="30"/>
          <w:szCs w:val="30"/>
        </w:rPr>
      </w:pPr>
      <w:r>
        <w:rPr>
          <w:rFonts w:hint="eastAsia"/>
          <w:sz w:val="30"/>
          <w:szCs w:val="30"/>
        </w:rPr>
        <w:t>被告人吴顺添犯行贿罪，判处有期徒刑二年六个月，并处罚金人民币十万元。</w:t>
      </w:r>
    </w:p>
    <w:p w14:paraId="31A0F6B1" w14:textId="77777777" w:rsidR="0055089E" w:rsidRDefault="0055089E">
      <w:pPr>
        <w:spacing w:line="500" w:lineRule="atLeast"/>
        <w:ind w:firstLine="600"/>
        <w:divId w:val="12884664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日止。罚金在判决生效后十日内向本院一次缴纳。期满不缴纳的，强制缴纳。）</w:t>
      </w:r>
    </w:p>
    <w:p w14:paraId="0724A006" w14:textId="77777777" w:rsidR="0055089E" w:rsidRDefault="0055089E">
      <w:pPr>
        <w:spacing w:line="500" w:lineRule="atLeast"/>
        <w:ind w:firstLine="600"/>
        <w:divId w:val="214715777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231BB0BE" w14:textId="77777777" w:rsidR="0055089E" w:rsidRDefault="0055089E">
      <w:pPr>
        <w:spacing w:line="500" w:lineRule="atLeast"/>
        <w:jc w:val="right"/>
        <w:divId w:val="1188763157"/>
        <w:rPr>
          <w:rFonts w:hint="eastAsia"/>
          <w:sz w:val="30"/>
          <w:szCs w:val="30"/>
        </w:rPr>
      </w:pPr>
      <w:r>
        <w:rPr>
          <w:rFonts w:hint="eastAsia"/>
          <w:sz w:val="30"/>
          <w:szCs w:val="30"/>
        </w:rPr>
        <w:t>审　判　长　　施斌斌</w:t>
      </w:r>
    </w:p>
    <w:p w14:paraId="78582317" w14:textId="77777777" w:rsidR="0055089E" w:rsidRDefault="0055089E">
      <w:pPr>
        <w:spacing w:line="500" w:lineRule="atLeast"/>
        <w:jc w:val="right"/>
        <w:divId w:val="646401077"/>
        <w:rPr>
          <w:rFonts w:hint="eastAsia"/>
          <w:sz w:val="30"/>
          <w:szCs w:val="30"/>
        </w:rPr>
      </w:pPr>
      <w:r>
        <w:rPr>
          <w:rFonts w:hint="eastAsia"/>
          <w:sz w:val="30"/>
          <w:szCs w:val="30"/>
        </w:rPr>
        <w:t>审　判　员　　宋永红</w:t>
      </w:r>
    </w:p>
    <w:p w14:paraId="684720CA" w14:textId="77777777" w:rsidR="0055089E" w:rsidRDefault="0055089E">
      <w:pPr>
        <w:spacing w:line="500" w:lineRule="atLeast"/>
        <w:jc w:val="right"/>
        <w:divId w:val="925308778"/>
        <w:rPr>
          <w:rFonts w:hint="eastAsia"/>
          <w:sz w:val="30"/>
          <w:szCs w:val="30"/>
        </w:rPr>
      </w:pPr>
      <w:r>
        <w:rPr>
          <w:rFonts w:hint="eastAsia"/>
          <w:sz w:val="30"/>
          <w:szCs w:val="30"/>
        </w:rPr>
        <w:t>人民陪审员　　余蔚杰</w:t>
      </w:r>
    </w:p>
    <w:p w14:paraId="0BC1D3E8" w14:textId="77777777" w:rsidR="0055089E" w:rsidRDefault="0055089E">
      <w:pPr>
        <w:spacing w:line="500" w:lineRule="atLeast"/>
        <w:jc w:val="right"/>
        <w:divId w:val="1325663995"/>
        <w:rPr>
          <w:rFonts w:hint="eastAsia"/>
          <w:sz w:val="30"/>
          <w:szCs w:val="30"/>
        </w:rPr>
      </w:pPr>
      <w:r>
        <w:rPr>
          <w:rFonts w:hint="eastAsia"/>
          <w:sz w:val="30"/>
          <w:szCs w:val="30"/>
        </w:rPr>
        <w:t>二〇一九年二月二十五日</w:t>
      </w:r>
    </w:p>
    <w:p w14:paraId="25EB1BB0" w14:textId="77777777" w:rsidR="0055089E" w:rsidRDefault="0055089E">
      <w:pPr>
        <w:spacing w:line="500" w:lineRule="atLeast"/>
        <w:jc w:val="right"/>
        <w:divId w:val="1749422935"/>
        <w:rPr>
          <w:rFonts w:hint="eastAsia"/>
          <w:sz w:val="30"/>
          <w:szCs w:val="30"/>
        </w:rPr>
      </w:pPr>
      <w:r>
        <w:rPr>
          <w:rFonts w:hint="eastAsia"/>
          <w:sz w:val="30"/>
          <w:szCs w:val="30"/>
        </w:rPr>
        <w:t>书　记　员　　李保法</w:t>
      </w:r>
    </w:p>
    <w:p w14:paraId="4791EF73" w14:textId="77777777" w:rsidR="0055089E" w:rsidRDefault="0055089E">
      <w:pPr>
        <w:spacing w:line="500" w:lineRule="atLeast"/>
        <w:ind w:firstLine="600"/>
        <w:divId w:val="1927962273"/>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4DF78" w14:textId="77777777" w:rsidR="003521E4" w:rsidRDefault="003521E4" w:rsidP="003521E4">
      <w:pPr>
        <w:rPr>
          <w:rFonts w:hint="eastAsia"/>
        </w:rPr>
      </w:pPr>
      <w:r>
        <w:separator/>
      </w:r>
    </w:p>
  </w:endnote>
  <w:endnote w:type="continuationSeparator" w:id="0">
    <w:p w14:paraId="23D1CA10" w14:textId="77777777" w:rsidR="003521E4" w:rsidRDefault="003521E4" w:rsidP="003521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8D14" w14:textId="77777777" w:rsidR="003521E4" w:rsidRDefault="003521E4" w:rsidP="003521E4">
      <w:pPr>
        <w:rPr>
          <w:rFonts w:hint="eastAsia"/>
        </w:rPr>
      </w:pPr>
      <w:r>
        <w:separator/>
      </w:r>
    </w:p>
  </w:footnote>
  <w:footnote w:type="continuationSeparator" w:id="0">
    <w:p w14:paraId="34192F71" w14:textId="77777777" w:rsidR="003521E4" w:rsidRDefault="003521E4" w:rsidP="003521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21E4"/>
    <w:rsid w:val="003521E4"/>
    <w:rsid w:val="0055089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E63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21E4"/>
    <w:pPr>
      <w:tabs>
        <w:tab w:val="center" w:pos="4153"/>
        <w:tab w:val="right" w:pos="8306"/>
      </w:tabs>
      <w:snapToGrid w:val="0"/>
      <w:jc w:val="center"/>
    </w:pPr>
    <w:rPr>
      <w:sz w:val="18"/>
      <w:szCs w:val="18"/>
    </w:rPr>
  </w:style>
  <w:style w:type="character" w:customStyle="1" w:styleId="a4">
    <w:name w:val="页眉 字符"/>
    <w:basedOn w:val="a0"/>
    <w:link w:val="a3"/>
    <w:uiPriority w:val="99"/>
    <w:rsid w:val="003521E4"/>
    <w:rPr>
      <w:rFonts w:ascii="宋体" w:eastAsia="宋体" w:hAnsi="宋体" w:cs="宋体"/>
      <w:sz w:val="18"/>
      <w:szCs w:val="18"/>
    </w:rPr>
  </w:style>
  <w:style w:type="paragraph" w:styleId="a5">
    <w:name w:val="footer"/>
    <w:basedOn w:val="a"/>
    <w:link w:val="a6"/>
    <w:uiPriority w:val="99"/>
    <w:unhideWhenUsed/>
    <w:rsid w:val="003521E4"/>
    <w:pPr>
      <w:tabs>
        <w:tab w:val="center" w:pos="4153"/>
        <w:tab w:val="right" w:pos="8306"/>
      </w:tabs>
      <w:snapToGrid w:val="0"/>
    </w:pPr>
    <w:rPr>
      <w:sz w:val="18"/>
      <w:szCs w:val="18"/>
    </w:rPr>
  </w:style>
  <w:style w:type="character" w:customStyle="1" w:styleId="a6">
    <w:name w:val="页脚 字符"/>
    <w:basedOn w:val="a0"/>
    <w:link w:val="a5"/>
    <w:uiPriority w:val="99"/>
    <w:rsid w:val="003521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4412">
      <w:marLeft w:val="0"/>
      <w:marRight w:val="0"/>
      <w:marTop w:val="10"/>
      <w:marBottom w:val="10"/>
      <w:divBdr>
        <w:top w:val="none" w:sz="0" w:space="0" w:color="auto"/>
        <w:left w:val="none" w:sz="0" w:space="0" w:color="auto"/>
        <w:bottom w:val="none" w:sz="0" w:space="0" w:color="auto"/>
        <w:right w:val="none" w:sz="0" w:space="0" w:color="auto"/>
      </w:divBdr>
    </w:div>
    <w:div w:id="248275967">
      <w:marLeft w:val="0"/>
      <w:marRight w:val="0"/>
      <w:marTop w:val="10"/>
      <w:marBottom w:val="10"/>
      <w:divBdr>
        <w:top w:val="none" w:sz="0" w:space="0" w:color="auto"/>
        <w:left w:val="none" w:sz="0" w:space="0" w:color="auto"/>
        <w:bottom w:val="none" w:sz="0" w:space="0" w:color="auto"/>
        <w:right w:val="none" w:sz="0" w:space="0" w:color="auto"/>
      </w:divBdr>
    </w:div>
    <w:div w:id="313993138">
      <w:marLeft w:val="0"/>
      <w:marRight w:val="0"/>
      <w:marTop w:val="10"/>
      <w:marBottom w:val="10"/>
      <w:divBdr>
        <w:top w:val="none" w:sz="0" w:space="0" w:color="auto"/>
        <w:left w:val="none" w:sz="0" w:space="0" w:color="auto"/>
        <w:bottom w:val="none" w:sz="0" w:space="0" w:color="auto"/>
        <w:right w:val="none" w:sz="0" w:space="0" w:color="auto"/>
      </w:divBdr>
    </w:div>
    <w:div w:id="646401077">
      <w:marLeft w:val="0"/>
      <w:marRight w:val="720"/>
      <w:marTop w:val="10"/>
      <w:marBottom w:val="10"/>
      <w:divBdr>
        <w:top w:val="none" w:sz="0" w:space="0" w:color="auto"/>
        <w:left w:val="none" w:sz="0" w:space="0" w:color="auto"/>
        <w:bottom w:val="none" w:sz="0" w:space="0" w:color="auto"/>
        <w:right w:val="none" w:sz="0" w:space="0" w:color="auto"/>
      </w:divBdr>
    </w:div>
    <w:div w:id="836842856">
      <w:marLeft w:val="0"/>
      <w:marRight w:val="0"/>
      <w:marTop w:val="10"/>
      <w:marBottom w:val="10"/>
      <w:divBdr>
        <w:top w:val="none" w:sz="0" w:space="0" w:color="auto"/>
        <w:left w:val="none" w:sz="0" w:space="0" w:color="auto"/>
        <w:bottom w:val="none" w:sz="0" w:space="0" w:color="auto"/>
        <w:right w:val="none" w:sz="0" w:space="0" w:color="auto"/>
      </w:divBdr>
    </w:div>
    <w:div w:id="863206072">
      <w:marLeft w:val="0"/>
      <w:marRight w:val="0"/>
      <w:marTop w:val="10"/>
      <w:marBottom w:val="10"/>
      <w:divBdr>
        <w:top w:val="none" w:sz="0" w:space="0" w:color="auto"/>
        <w:left w:val="none" w:sz="0" w:space="0" w:color="auto"/>
        <w:bottom w:val="none" w:sz="0" w:space="0" w:color="auto"/>
        <w:right w:val="none" w:sz="0" w:space="0" w:color="auto"/>
      </w:divBdr>
    </w:div>
    <w:div w:id="918825345">
      <w:marLeft w:val="0"/>
      <w:marRight w:val="0"/>
      <w:marTop w:val="10"/>
      <w:marBottom w:val="10"/>
      <w:divBdr>
        <w:top w:val="none" w:sz="0" w:space="0" w:color="auto"/>
        <w:left w:val="none" w:sz="0" w:space="0" w:color="auto"/>
        <w:bottom w:val="none" w:sz="0" w:space="0" w:color="auto"/>
        <w:right w:val="none" w:sz="0" w:space="0" w:color="auto"/>
      </w:divBdr>
    </w:div>
    <w:div w:id="925308778">
      <w:marLeft w:val="0"/>
      <w:marRight w:val="720"/>
      <w:marTop w:val="10"/>
      <w:marBottom w:val="10"/>
      <w:divBdr>
        <w:top w:val="none" w:sz="0" w:space="0" w:color="auto"/>
        <w:left w:val="none" w:sz="0" w:space="0" w:color="auto"/>
        <w:bottom w:val="none" w:sz="0" w:space="0" w:color="auto"/>
        <w:right w:val="none" w:sz="0" w:space="0" w:color="auto"/>
      </w:divBdr>
    </w:div>
    <w:div w:id="1188763157">
      <w:marLeft w:val="0"/>
      <w:marRight w:val="720"/>
      <w:marTop w:val="10"/>
      <w:marBottom w:val="10"/>
      <w:divBdr>
        <w:top w:val="none" w:sz="0" w:space="0" w:color="auto"/>
        <w:left w:val="none" w:sz="0" w:space="0" w:color="auto"/>
        <w:bottom w:val="none" w:sz="0" w:space="0" w:color="auto"/>
        <w:right w:val="none" w:sz="0" w:space="0" w:color="auto"/>
      </w:divBdr>
    </w:div>
    <w:div w:id="1196115989">
      <w:marLeft w:val="0"/>
      <w:marRight w:val="0"/>
      <w:marTop w:val="10"/>
      <w:marBottom w:val="10"/>
      <w:divBdr>
        <w:top w:val="none" w:sz="0" w:space="0" w:color="auto"/>
        <w:left w:val="none" w:sz="0" w:space="0" w:color="auto"/>
        <w:bottom w:val="none" w:sz="0" w:space="0" w:color="auto"/>
        <w:right w:val="none" w:sz="0" w:space="0" w:color="auto"/>
      </w:divBdr>
    </w:div>
    <w:div w:id="1288466440">
      <w:marLeft w:val="0"/>
      <w:marRight w:val="0"/>
      <w:marTop w:val="10"/>
      <w:marBottom w:val="10"/>
      <w:divBdr>
        <w:top w:val="none" w:sz="0" w:space="0" w:color="auto"/>
        <w:left w:val="none" w:sz="0" w:space="0" w:color="auto"/>
        <w:bottom w:val="none" w:sz="0" w:space="0" w:color="auto"/>
        <w:right w:val="none" w:sz="0" w:space="0" w:color="auto"/>
      </w:divBdr>
    </w:div>
    <w:div w:id="1305620490">
      <w:marLeft w:val="0"/>
      <w:marRight w:val="0"/>
      <w:marTop w:val="10"/>
      <w:marBottom w:val="10"/>
      <w:divBdr>
        <w:top w:val="none" w:sz="0" w:space="0" w:color="auto"/>
        <w:left w:val="none" w:sz="0" w:space="0" w:color="auto"/>
        <w:bottom w:val="none" w:sz="0" w:space="0" w:color="auto"/>
        <w:right w:val="none" w:sz="0" w:space="0" w:color="auto"/>
      </w:divBdr>
    </w:div>
    <w:div w:id="1325663995">
      <w:marLeft w:val="0"/>
      <w:marRight w:val="720"/>
      <w:marTop w:val="10"/>
      <w:marBottom w:val="10"/>
      <w:divBdr>
        <w:top w:val="none" w:sz="0" w:space="0" w:color="auto"/>
        <w:left w:val="none" w:sz="0" w:space="0" w:color="auto"/>
        <w:bottom w:val="none" w:sz="0" w:space="0" w:color="auto"/>
        <w:right w:val="none" w:sz="0" w:space="0" w:color="auto"/>
      </w:divBdr>
    </w:div>
    <w:div w:id="1516112982">
      <w:marLeft w:val="0"/>
      <w:marRight w:val="0"/>
      <w:marTop w:val="10"/>
      <w:marBottom w:val="10"/>
      <w:divBdr>
        <w:top w:val="none" w:sz="0" w:space="0" w:color="auto"/>
        <w:left w:val="none" w:sz="0" w:space="0" w:color="auto"/>
        <w:bottom w:val="none" w:sz="0" w:space="0" w:color="auto"/>
        <w:right w:val="none" w:sz="0" w:space="0" w:color="auto"/>
      </w:divBdr>
    </w:div>
    <w:div w:id="1523744252">
      <w:marLeft w:val="0"/>
      <w:marRight w:val="0"/>
      <w:marTop w:val="10"/>
      <w:marBottom w:val="10"/>
      <w:divBdr>
        <w:top w:val="none" w:sz="0" w:space="0" w:color="auto"/>
        <w:left w:val="none" w:sz="0" w:space="0" w:color="auto"/>
        <w:bottom w:val="none" w:sz="0" w:space="0" w:color="auto"/>
        <w:right w:val="none" w:sz="0" w:space="0" w:color="auto"/>
      </w:divBdr>
    </w:div>
    <w:div w:id="1593388891">
      <w:marLeft w:val="0"/>
      <w:marRight w:val="0"/>
      <w:marTop w:val="10"/>
      <w:marBottom w:val="10"/>
      <w:divBdr>
        <w:top w:val="none" w:sz="0" w:space="0" w:color="auto"/>
        <w:left w:val="none" w:sz="0" w:space="0" w:color="auto"/>
        <w:bottom w:val="none" w:sz="0" w:space="0" w:color="auto"/>
        <w:right w:val="none" w:sz="0" w:space="0" w:color="auto"/>
      </w:divBdr>
    </w:div>
    <w:div w:id="1603800693">
      <w:marLeft w:val="0"/>
      <w:marRight w:val="0"/>
      <w:marTop w:val="10"/>
      <w:marBottom w:val="10"/>
      <w:divBdr>
        <w:top w:val="none" w:sz="0" w:space="0" w:color="auto"/>
        <w:left w:val="none" w:sz="0" w:space="0" w:color="auto"/>
        <w:bottom w:val="none" w:sz="0" w:space="0" w:color="auto"/>
        <w:right w:val="none" w:sz="0" w:space="0" w:color="auto"/>
      </w:divBdr>
    </w:div>
    <w:div w:id="1749422935">
      <w:marLeft w:val="0"/>
      <w:marRight w:val="720"/>
      <w:marTop w:val="10"/>
      <w:marBottom w:val="10"/>
      <w:divBdr>
        <w:top w:val="none" w:sz="0" w:space="0" w:color="auto"/>
        <w:left w:val="none" w:sz="0" w:space="0" w:color="auto"/>
        <w:bottom w:val="none" w:sz="0" w:space="0" w:color="auto"/>
        <w:right w:val="none" w:sz="0" w:space="0" w:color="auto"/>
      </w:divBdr>
    </w:div>
    <w:div w:id="1927962273">
      <w:marLeft w:val="0"/>
      <w:marRight w:val="0"/>
      <w:marTop w:val="10"/>
      <w:marBottom w:val="10"/>
      <w:divBdr>
        <w:top w:val="none" w:sz="0" w:space="0" w:color="auto"/>
        <w:left w:val="none" w:sz="0" w:space="0" w:color="auto"/>
        <w:bottom w:val="none" w:sz="0" w:space="0" w:color="auto"/>
        <w:right w:val="none" w:sz="0" w:space="0" w:color="auto"/>
      </w:divBdr>
    </w:div>
    <w:div w:id="1953315518">
      <w:marLeft w:val="0"/>
      <w:marRight w:val="0"/>
      <w:marTop w:val="10"/>
      <w:marBottom w:val="10"/>
      <w:divBdr>
        <w:top w:val="none" w:sz="0" w:space="0" w:color="auto"/>
        <w:left w:val="none" w:sz="0" w:space="0" w:color="auto"/>
        <w:bottom w:val="none" w:sz="0" w:space="0" w:color="auto"/>
        <w:right w:val="none" w:sz="0" w:space="0" w:color="auto"/>
      </w:divBdr>
    </w:div>
    <w:div w:id="2020111939">
      <w:marLeft w:val="0"/>
      <w:marRight w:val="0"/>
      <w:marTop w:val="10"/>
      <w:marBottom w:val="10"/>
      <w:divBdr>
        <w:top w:val="none" w:sz="0" w:space="0" w:color="auto"/>
        <w:left w:val="none" w:sz="0" w:space="0" w:color="auto"/>
        <w:bottom w:val="none" w:sz="0" w:space="0" w:color="auto"/>
        <w:right w:val="none" w:sz="0" w:space="0" w:color="auto"/>
      </w:divBdr>
    </w:div>
    <w:div w:id="2132435242">
      <w:marLeft w:val="0"/>
      <w:marRight w:val="0"/>
      <w:marTop w:val="10"/>
      <w:marBottom w:val="10"/>
      <w:divBdr>
        <w:top w:val="none" w:sz="0" w:space="0" w:color="auto"/>
        <w:left w:val="none" w:sz="0" w:space="0" w:color="auto"/>
        <w:bottom w:val="none" w:sz="0" w:space="0" w:color="auto"/>
        <w:right w:val="none" w:sz="0" w:space="0" w:color="auto"/>
      </w:divBdr>
    </w:div>
    <w:div w:id="2147157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