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E8B5" w14:textId="77777777" w:rsidR="00926FAE" w:rsidRDefault="00926FAE">
      <w:pPr>
        <w:spacing w:line="500" w:lineRule="atLeast"/>
        <w:jc w:val="center"/>
        <w:divId w:val="1605923022"/>
        <w:rPr>
          <w:rFonts w:ascii="黑体" w:eastAsia="黑体" w:hAnsi="黑体"/>
          <w:sz w:val="36"/>
          <w:szCs w:val="36"/>
        </w:rPr>
      </w:pPr>
      <w:r>
        <w:rPr>
          <w:rFonts w:ascii="黑体" w:eastAsia="黑体" w:hAnsi="黑体" w:hint="eastAsia"/>
          <w:sz w:val="36"/>
          <w:szCs w:val="36"/>
        </w:rPr>
        <w:t>广东省广州市中级人民法院</w:t>
      </w:r>
    </w:p>
    <w:p w14:paraId="2E6D263F" w14:textId="77777777" w:rsidR="00926FAE" w:rsidRDefault="00926FAE">
      <w:pPr>
        <w:spacing w:line="500" w:lineRule="atLeast"/>
        <w:jc w:val="center"/>
        <w:divId w:val="9832423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610519" w14:textId="77777777" w:rsidR="00926FAE" w:rsidRDefault="00926FAE">
      <w:pPr>
        <w:spacing w:line="500" w:lineRule="atLeast"/>
        <w:jc w:val="right"/>
        <w:divId w:val="1476533852"/>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1566</w:t>
      </w:r>
      <w:r>
        <w:rPr>
          <w:rFonts w:hint="eastAsia"/>
          <w:sz w:val="30"/>
          <w:szCs w:val="30"/>
        </w:rPr>
        <w:t>号</w:t>
      </w:r>
    </w:p>
    <w:p w14:paraId="210D4B21" w14:textId="77777777" w:rsidR="00926FAE" w:rsidRDefault="00926FAE">
      <w:pPr>
        <w:spacing w:line="500" w:lineRule="atLeast"/>
        <w:ind w:firstLine="600"/>
        <w:divId w:val="1326740246"/>
        <w:rPr>
          <w:rFonts w:hint="eastAsia"/>
          <w:sz w:val="30"/>
          <w:szCs w:val="30"/>
        </w:rPr>
      </w:pPr>
      <w:r>
        <w:rPr>
          <w:rFonts w:hint="eastAsia"/>
          <w:sz w:val="30"/>
          <w:szCs w:val="30"/>
        </w:rPr>
        <w:t>原公诉机关广州市海珠区人民检察院。</w:t>
      </w:r>
    </w:p>
    <w:p w14:paraId="1607E990" w14:textId="77777777" w:rsidR="00926FAE" w:rsidRDefault="00926FAE">
      <w:pPr>
        <w:spacing w:line="500" w:lineRule="atLeast"/>
        <w:ind w:firstLine="600"/>
        <w:divId w:val="991328178"/>
        <w:rPr>
          <w:rFonts w:hint="eastAsia"/>
          <w:sz w:val="30"/>
          <w:szCs w:val="30"/>
        </w:rPr>
      </w:pPr>
      <w:r>
        <w:rPr>
          <w:rFonts w:hint="eastAsia"/>
          <w:sz w:val="30"/>
          <w:szCs w:val="30"/>
        </w:rPr>
        <w:t>上诉人（原审被告人）周某，原任广州市白云区江高镇维稳及综合治理办公室副主任兼江高镇两上村党支部书记、经济发展办公室副主任、广州市白云区江高镇组织人事办主任。户籍地广东省广州市白云区，现住广东省广州市白云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日被广州市海珠区人民检察院取保候审，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日被广州市海珠区人民法院取保候审，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日被广州市海珠区人民法院逮捕，现押于广州市海珠区看守所羁押。</w:t>
      </w:r>
    </w:p>
    <w:p w14:paraId="4897F21C" w14:textId="77777777" w:rsidR="00926FAE" w:rsidRDefault="00926FAE">
      <w:pPr>
        <w:spacing w:line="500" w:lineRule="atLeast"/>
        <w:ind w:firstLine="600"/>
        <w:divId w:val="126633265"/>
        <w:rPr>
          <w:rFonts w:hint="eastAsia"/>
          <w:sz w:val="30"/>
          <w:szCs w:val="30"/>
        </w:rPr>
      </w:pPr>
      <w:r>
        <w:rPr>
          <w:rFonts w:hint="eastAsia"/>
          <w:sz w:val="30"/>
          <w:szCs w:val="30"/>
        </w:rPr>
        <w:t>辩护人黄敏东、谢珊珊，广东中天律师事务所律师。</w:t>
      </w:r>
    </w:p>
    <w:p w14:paraId="082FE9E0" w14:textId="77777777" w:rsidR="00926FAE" w:rsidRDefault="00926FAE">
      <w:pPr>
        <w:spacing w:line="500" w:lineRule="atLeast"/>
        <w:ind w:firstLine="600"/>
        <w:divId w:val="1922375670"/>
        <w:rPr>
          <w:rFonts w:hint="eastAsia"/>
          <w:sz w:val="30"/>
          <w:szCs w:val="30"/>
        </w:rPr>
      </w:pPr>
      <w:r>
        <w:rPr>
          <w:rFonts w:hint="eastAsia"/>
          <w:sz w:val="30"/>
          <w:szCs w:val="30"/>
        </w:rPr>
        <w:t>广州市海珠区人民法院审理广州市海珠区人民检察院指控被告人周某犯受贿罪、介绍贿赂罪一案，于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2015</w:t>
      </w:r>
      <w:r>
        <w:rPr>
          <w:rFonts w:hint="eastAsia"/>
          <w:sz w:val="30"/>
          <w:szCs w:val="30"/>
        </w:rPr>
        <w:t>）穗海法刑初字第</w:t>
      </w:r>
      <w:r>
        <w:rPr>
          <w:rFonts w:hint="eastAsia"/>
          <w:sz w:val="30"/>
          <w:szCs w:val="30"/>
        </w:rPr>
        <w:t>805</w:t>
      </w:r>
      <w:r>
        <w:rPr>
          <w:rFonts w:hint="eastAsia"/>
          <w:sz w:val="30"/>
          <w:szCs w:val="30"/>
        </w:rPr>
        <w:t>号刑事判决。原审被告人周某不服，向本院提起上诉。本院依法组成合议庭，经过阅卷，讯问上诉人，认为本案事实清楚，决定不开庭审理。现已终结审理。</w:t>
      </w:r>
    </w:p>
    <w:p w14:paraId="312BF7B7" w14:textId="77777777" w:rsidR="00926FAE" w:rsidRDefault="00926FAE">
      <w:pPr>
        <w:spacing w:line="500" w:lineRule="atLeast"/>
        <w:ind w:firstLine="600"/>
        <w:divId w:val="1111818255"/>
        <w:rPr>
          <w:rFonts w:hint="eastAsia"/>
          <w:sz w:val="30"/>
          <w:szCs w:val="30"/>
        </w:rPr>
      </w:pPr>
      <w:r>
        <w:rPr>
          <w:rFonts w:hint="eastAsia"/>
          <w:sz w:val="30"/>
          <w:szCs w:val="30"/>
        </w:rPr>
        <w:t>原审判决认定：</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周某在先后担任广州市白云区江高镇维稳及综合治理办公室副主任兼任江高镇两上村党支部书记、经济发展办公室副主任期间，利用广州市白云区农业局蔬菜与种植业科科长林创芬（另案处理）分管蔬菜基地建设项目工作的职务便利，在两上村蔬菜基地建设项目立项及工程发包过程中，协助项目承包人黄耀针（另案处理）承接工程，从中居间帮助黄耀针贿送共计人民币</w:t>
      </w:r>
      <w:r>
        <w:rPr>
          <w:rFonts w:hint="eastAsia"/>
          <w:sz w:val="30"/>
          <w:szCs w:val="30"/>
        </w:rPr>
        <w:t>140000</w:t>
      </w:r>
      <w:r>
        <w:rPr>
          <w:rFonts w:hint="eastAsia"/>
          <w:sz w:val="30"/>
          <w:szCs w:val="30"/>
        </w:rPr>
        <w:t>元给林创芬，并收受黄耀针给予的好处费共计人民币</w:t>
      </w:r>
      <w:r>
        <w:rPr>
          <w:rFonts w:hint="eastAsia"/>
          <w:sz w:val="30"/>
          <w:szCs w:val="30"/>
        </w:rPr>
        <w:t>50000</w:t>
      </w:r>
      <w:r>
        <w:rPr>
          <w:rFonts w:hint="eastAsia"/>
          <w:sz w:val="30"/>
          <w:szCs w:val="30"/>
        </w:rPr>
        <w:t>元。</w:t>
      </w:r>
      <w:r>
        <w:rPr>
          <w:rFonts w:hint="eastAsia"/>
          <w:sz w:val="30"/>
          <w:szCs w:val="30"/>
        </w:rPr>
        <w:lastRenderedPageBreak/>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日，被告人周某向广州市海珠区人民检察院投案自首，并向广州市白云区监察局退缴赃款人民币</w:t>
      </w:r>
      <w:r>
        <w:rPr>
          <w:rFonts w:hint="eastAsia"/>
          <w:sz w:val="30"/>
          <w:szCs w:val="30"/>
        </w:rPr>
        <w:t>50000</w:t>
      </w:r>
      <w:r>
        <w:rPr>
          <w:rFonts w:hint="eastAsia"/>
          <w:sz w:val="30"/>
          <w:szCs w:val="30"/>
        </w:rPr>
        <w:t>元。</w:t>
      </w:r>
    </w:p>
    <w:p w14:paraId="7ECAE9F0" w14:textId="77777777" w:rsidR="00926FAE" w:rsidRDefault="00926FAE">
      <w:pPr>
        <w:spacing w:line="500" w:lineRule="atLeast"/>
        <w:ind w:firstLine="600"/>
        <w:divId w:val="919758475"/>
        <w:rPr>
          <w:rFonts w:hint="eastAsia"/>
          <w:sz w:val="30"/>
          <w:szCs w:val="30"/>
        </w:rPr>
      </w:pPr>
      <w:r>
        <w:rPr>
          <w:rFonts w:hint="eastAsia"/>
          <w:sz w:val="30"/>
          <w:szCs w:val="30"/>
        </w:rPr>
        <w:t>上述事实，有下列经原审庭审举证、质证的证据证实：</w:t>
      </w:r>
    </w:p>
    <w:p w14:paraId="497DA0CF" w14:textId="77777777" w:rsidR="00926FAE" w:rsidRDefault="00926FAE">
      <w:pPr>
        <w:spacing w:line="500" w:lineRule="atLeast"/>
        <w:ind w:firstLine="600"/>
        <w:divId w:val="2080789096"/>
        <w:rPr>
          <w:rFonts w:hint="eastAsia"/>
          <w:sz w:val="30"/>
          <w:szCs w:val="30"/>
        </w:rPr>
      </w:pPr>
      <w:r>
        <w:rPr>
          <w:rFonts w:hint="eastAsia"/>
          <w:sz w:val="30"/>
          <w:szCs w:val="30"/>
        </w:rPr>
        <w:t>1.</w:t>
      </w:r>
      <w:r>
        <w:rPr>
          <w:rFonts w:hint="eastAsia"/>
          <w:sz w:val="30"/>
          <w:szCs w:val="30"/>
        </w:rPr>
        <w:t>广州市白云区江高镇人民政府的组织机构代码证、被告人周某的干部任免审批表、干部简历表、干部履历表、任免职的通知、该政府出具的任职证明及广州市特种证件制作中心提供的常住人口资料等书证。</w:t>
      </w:r>
    </w:p>
    <w:p w14:paraId="738F1284" w14:textId="77777777" w:rsidR="00926FAE" w:rsidRDefault="00926FAE">
      <w:pPr>
        <w:spacing w:line="500" w:lineRule="atLeast"/>
        <w:ind w:firstLine="600"/>
        <w:divId w:val="2560960"/>
        <w:rPr>
          <w:rFonts w:hint="eastAsia"/>
          <w:sz w:val="30"/>
          <w:szCs w:val="30"/>
        </w:rPr>
      </w:pPr>
      <w:r>
        <w:rPr>
          <w:rFonts w:hint="eastAsia"/>
          <w:sz w:val="30"/>
          <w:szCs w:val="30"/>
        </w:rPr>
        <w:t>2.</w:t>
      </w:r>
      <w:r>
        <w:rPr>
          <w:rFonts w:hint="eastAsia"/>
          <w:sz w:val="30"/>
          <w:szCs w:val="30"/>
        </w:rPr>
        <w:t>广州市白云区农林局的组织机构代码证、干部履历表、干部任免呈报表、关于林创芬在白云区农林局主要工作简历、广州市白云区农业局职能配置、内设机构和人员编制规定及广州市特种证件制作中心提供的常住人口资料等书证。</w:t>
      </w:r>
    </w:p>
    <w:p w14:paraId="52C652AE" w14:textId="77777777" w:rsidR="00926FAE" w:rsidRDefault="00926FAE">
      <w:pPr>
        <w:spacing w:line="500" w:lineRule="atLeast"/>
        <w:ind w:firstLine="600"/>
        <w:divId w:val="782194170"/>
        <w:rPr>
          <w:rFonts w:hint="eastAsia"/>
          <w:sz w:val="30"/>
          <w:szCs w:val="30"/>
        </w:rPr>
      </w:pPr>
      <w:r>
        <w:rPr>
          <w:rFonts w:hint="eastAsia"/>
          <w:sz w:val="30"/>
          <w:szCs w:val="30"/>
        </w:rPr>
        <w:t>3.</w:t>
      </w:r>
      <w:r>
        <w:rPr>
          <w:rFonts w:hint="eastAsia"/>
          <w:sz w:val="30"/>
          <w:szCs w:val="30"/>
        </w:rPr>
        <w:t>广州市白云区农林局提供的关于安排</w:t>
      </w:r>
      <w:r>
        <w:rPr>
          <w:rFonts w:hint="eastAsia"/>
          <w:sz w:val="30"/>
          <w:szCs w:val="30"/>
        </w:rPr>
        <w:t>2009</w:t>
      </w:r>
      <w:r>
        <w:rPr>
          <w:rFonts w:hint="eastAsia"/>
          <w:sz w:val="30"/>
          <w:szCs w:val="30"/>
        </w:rPr>
        <w:t>年广州市第一批农建项目资金的复函、关于白云区江高镇两上村蔬菜基地建设项目情况说明、广州市</w:t>
      </w:r>
      <w:r>
        <w:rPr>
          <w:rFonts w:hint="eastAsia"/>
          <w:sz w:val="30"/>
          <w:szCs w:val="30"/>
        </w:rPr>
        <w:t>2009</w:t>
      </w:r>
      <w:r>
        <w:rPr>
          <w:rFonts w:hint="eastAsia"/>
          <w:sz w:val="30"/>
          <w:szCs w:val="30"/>
        </w:rPr>
        <w:t>年第二批农建项目安排表、专项审计报告、工程施工承包合同、工程款划拨申请书、发票、广州市财政农业专项资金项目申报书、白云区江高镇两上村蔬菜基地标准化建设招标申请函、招标情况报告、施工招标评标报告、中标单位确定的函、中标通知书、广州市白云区农林局关于白云区江高镇两上村蔬菜基地标准化建设项目招标监管情况的说明等书证。</w:t>
      </w:r>
    </w:p>
    <w:p w14:paraId="1D5EB973" w14:textId="77777777" w:rsidR="00926FAE" w:rsidRDefault="00926FAE">
      <w:pPr>
        <w:spacing w:line="500" w:lineRule="atLeast"/>
        <w:ind w:firstLine="600"/>
        <w:divId w:val="1909723415"/>
        <w:rPr>
          <w:rFonts w:hint="eastAsia"/>
          <w:sz w:val="30"/>
          <w:szCs w:val="30"/>
        </w:rPr>
      </w:pPr>
      <w:r>
        <w:rPr>
          <w:rFonts w:hint="eastAsia"/>
          <w:sz w:val="30"/>
          <w:szCs w:val="30"/>
        </w:rPr>
        <w:t>4.</w:t>
      </w:r>
      <w:r>
        <w:rPr>
          <w:rFonts w:hint="eastAsia"/>
          <w:sz w:val="30"/>
          <w:szCs w:val="30"/>
        </w:rPr>
        <w:t>广州市海珠区人民检察院出具的破案报告及广州市白云区监察局出具的广东省暂时扣留、冻结财物收据。</w:t>
      </w:r>
    </w:p>
    <w:p w14:paraId="55FD3B41" w14:textId="77777777" w:rsidR="00926FAE" w:rsidRDefault="00926FAE">
      <w:pPr>
        <w:spacing w:line="500" w:lineRule="atLeast"/>
        <w:ind w:firstLine="600"/>
        <w:divId w:val="470170293"/>
        <w:rPr>
          <w:rFonts w:hint="eastAsia"/>
          <w:sz w:val="30"/>
          <w:szCs w:val="30"/>
        </w:rPr>
      </w:pPr>
      <w:r>
        <w:rPr>
          <w:rFonts w:hint="eastAsia"/>
          <w:sz w:val="30"/>
          <w:szCs w:val="30"/>
        </w:rPr>
        <w:t>5.</w:t>
      </w:r>
      <w:r>
        <w:rPr>
          <w:rFonts w:hint="eastAsia"/>
          <w:sz w:val="30"/>
          <w:szCs w:val="30"/>
        </w:rPr>
        <w:t>同案人林创芬（另案处理）、行贿人黄耀针（另案处理）、被告人周某的供述等。</w:t>
      </w:r>
    </w:p>
    <w:p w14:paraId="6ED71B94" w14:textId="77777777" w:rsidR="00926FAE" w:rsidRDefault="00926FAE">
      <w:pPr>
        <w:spacing w:line="500" w:lineRule="atLeast"/>
        <w:ind w:firstLine="600"/>
        <w:divId w:val="1158614559"/>
        <w:rPr>
          <w:rFonts w:hint="eastAsia"/>
          <w:sz w:val="30"/>
          <w:szCs w:val="30"/>
        </w:rPr>
      </w:pPr>
      <w:r>
        <w:rPr>
          <w:rFonts w:hint="eastAsia"/>
          <w:sz w:val="30"/>
          <w:szCs w:val="30"/>
        </w:rPr>
        <w:t>原审判决认为被告人周某无视国家法律，利用职务上的便利，非法收受他人财物，为他人谋取利益，数额较大，其行为已构成受贿罪；被告人周某向国家工作人员介绍贿赂，情节严重，其行为还构成介绍贿赂罪，依法应对其实行数罪并罚。被告人周某犯罪后自动投案，并如实供述自己的罪行，是自首，依法对其从轻处罚。依照《中华人民共和国刑法》第三百八十五条第一款、第三百八十六条、第三百八十三条第一款第（一）项、第三百九十二条、第六十七条第一款、第六十四条及《最高人民法院、最高人民检察院关于办理贪污贿赂刑事案件适用法律若干问题的解释》第一条、第十九条、《最高人民法院关于处理自首和立功具体应用法律若干问题的解释》第一条、第三条之规定，判决如下：</w:t>
      </w:r>
    </w:p>
    <w:p w14:paraId="4D49FD58" w14:textId="77777777" w:rsidR="00926FAE" w:rsidRDefault="00926FAE">
      <w:pPr>
        <w:spacing w:line="500" w:lineRule="atLeast"/>
        <w:ind w:firstLine="600"/>
        <w:divId w:val="1096638166"/>
        <w:rPr>
          <w:rFonts w:hint="eastAsia"/>
          <w:sz w:val="30"/>
          <w:szCs w:val="30"/>
        </w:rPr>
      </w:pPr>
      <w:r>
        <w:rPr>
          <w:rFonts w:hint="eastAsia"/>
          <w:sz w:val="30"/>
          <w:szCs w:val="30"/>
        </w:rPr>
        <w:t>一、被告人周某犯受贿罪，判处有期徒刑六个月，并处罚金人民币十万元；犯介绍贿赂罪，判处有期徒刑六个月，并处罚金人民币十万元。总和刑为有期徒刑一年，并处罚金人民币二十万元，决定执行有期徒刑九个月，并处罚金人民币二十万元；二、没收被告人周某违法所得人民币五万元，上缴国库；三、被告人周某向广州市白云区监察局退缴的人民币五万元作上述第二项判决执行。</w:t>
      </w:r>
    </w:p>
    <w:p w14:paraId="2A88E71F" w14:textId="77777777" w:rsidR="00926FAE" w:rsidRDefault="00926FAE">
      <w:pPr>
        <w:spacing w:line="500" w:lineRule="atLeast"/>
        <w:ind w:firstLine="600"/>
        <w:divId w:val="1486318598"/>
        <w:rPr>
          <w:rFonts w:hint="eastAsia"/>
          <w:sz w:val="30"/>
          <w:szCs w:val="30"/>
        </w:rPr>
      </w:pPr>
      <w:r>
        <w:rPr>
          <w:rFonts w:hint="eastAsia"/>
          <w:sz w:val="30"/>
          <w:szCs w:val="30"/>
        </w:rPr>
        <w:t>宣判后，原审被告人周某不服，提出上诉称：其受贿行为应当吸收介绍贿赂行为，本案应仅以受贿罪追究刑事责任；原判量刑过重，且不应并处罚金；本案原审判决时，其所犯两罪已过追诉时效期限，按刑诉法规应不予追究其刑事责任，应终止审理本案。</w:t>
      </w:r>
    </w:p>
    <w:p w14:paraId="6117550B" w14:textId="77777777" w:rsidR="00926FAE" w:rsidRDefault="00926FAE">
      <w:pPr>
        <w:spacing w:line="500" w:lineRule="atLeast"/>
        <w:ind w:firstLine="600"/>
        <w:divId w:val="1002199326"/>
        <w:rPr>
          <w:rFonts w:hint="eastAsia"/>
          <w:sz w:val="30"/>
          <w:szCs w:val="30"/>
        </w:rPr>
      </w:pPr>
      <w:r>
        <w:rPr>
          <w:rFonts w:hint="eastAsia"/>
          <w:sz w:val="30"/>
          <w:szCs w:val="30"/>
        </w:rPr>
        <w:t>经审理查明，原审判决认定上诉人周某利用职务上的便利，非法收受他人财物，为他人谋取利益，数额较大，并向国家工作人员介绍贿赂的事实清楚，所依据的证据，均经原审庭审公开举证、质证，证据来源合法、确实、充分，本院应予以确认。</w:t>
      </w:r>
    </w:p>
    <w:p w14:paraId="57267D75" w14:textId="77777777" w:rsidR="00926FAE" w:rsidRDefault="00926FAE">
      <w:pPr>
        <w:spacing w:line="500" w:lineRule="atLeast"/>
        <w:ind w:firstLine="600"/>
        <w:divId w:val="1928928352"/>
        <w:rPr>
          <w:rFonts w:hint="eastAsia"/>
          <w:sz w:val="30"/>
          <w:szCs w:val="30"/>
        </w:rPr>
      </w:pPr>
      <w:r>
        <w:rPr>
          <w:rFonts w:hint="eastAsia"/>
          <w:sz w:val="30"/>
          <w:szCs w:val="30"/>
        </w:rPr>
        <w:t>关于上诉人周某提出的上诉意见，本院评析如下：</w:t>
      </w:r>
    </w:p>
    <w:p w14:paraId="7AA7D202" w14:textId="77777777" w:rsidR="00926FAE" w:rsidRDefault="00926FAE">
      <w:pPr>
        <w:spacing w:line="500" w:lineRule="atLeast"/>
        <w:ind w:firstLine="600"/>
        <w:divId w:val="558135433"/>
        <w:rPr>
          <w:rFonts w:hint="eastAsia"/>
          <w:sz w:val="30"/>
          <w:szCs w:val="30"/>
        </w:rPr>
      </w:pPr>
      <w:r>
        <w:rPr>
          <w:rFonts w:hint="eastAsia"/>
          <w:sz w:val="30"/>
          <w:szCs w:val="30"/>
        </w:rPr>
        <w:t>1.</w:t>
      </w:r>
      <w:r>
        <w:rPr>
          <w:rFonts w:hint="eastAsia"/>
          <w:sz w:val="30"/>
          <w:szCs w:val="30"/>
        </w:rPr>
        <w:t>根据广州市白云区农林局提供的相关书证；同案人林某（另案处理）、行贿人黄某（另案处理）及上诉人周某的供述，证实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上诉人周某在先后担任广州市白云区江高镇维稳及综合治理办公室副主任兼任江高镇两上村党支部书记、经济发展办公室副主任期间，利用职务之便，收受行贿人黄某财物，接受行贿人黄某请托，并通过利用广州市白云区农业局蔬菜与种植业科科长林某分管蔬菜基地建设项目工作的职务便利，在两上村蔬菜基地建设项目立项及工程发包过程中，协助项目承包人黄某承接工程，为行贿人黄某谋取利益。上诉人周某的犯罪行为具体分为两部分：一是将行贿人黄某介绍给林某，从中帮助介绍黄某向国家工作人员林某贿送共计人民币</w:t>
      </w:r>
      <w:r>
        <w:rPr>
          <w:rFonts w:hint="eastAsia"/>
          <w:sz w:val="30"/>
          <w:szCs w:val="30"/>
        </w:rPr>
        <w:t>140000</w:t>
      </w:r>
      <w:r>
        <w:rPr>
          <w:rFonts w:hint="eastAsia"/>
          <w:sz w:val="30"/>
          <w:szCs w:val="30"/>
        </w:rPr>
        <w:t>元，使黄某顺利得到涉案工程。上诉人周某的居间介绍行为最终促使行贿行为得以实现。其明知行贿人黄某的行贿企图，也明知受贿人国家工作人员林某的受贿意图，而故意充当中介人，从中沟通、撮合，符合介绍贿赂罪的构成要件，该行为应认定为介绍贿赂罪；二是利用自己任广州市白云区江高镇维稳及综合治理办公室副主任兼江高镇两上村党支部书记的职权对另一国家工作人员林某的职务影响力，为行贿人黄某斡旋接受请托、收受财物、谋取利益，收受行贿人黄</w:t>
      </w:r>
      <w:r>
        <w:rPr>
          <w:rFonts w:hint="eastAsia"/>
          <w:sz w:val="30"/>
          <w:szCs w:val="30"/>
        </w:rPr>
        <w:t>某给予的好处费共计人民币</w:t>
      </w:r>
      <w:r>
        <w:rPr>
          <w:rFonts w:hint="eastAsia"/>
          <w:sz w:val="30"/>
          <w:szCs w:val="30"/>
        </w:rPr>
        <w:t>50000</w:t>
      </w:r>
      <w:r>
        <w:rPr>
          <w:rFonts w:hint="eastAsia"/>
          <w:sz w:val="30"/>
          <w:szCs w:val="30"/>
        </w:rPr>
        <w:t>元，符合“权钱交易”的特征属性，侵害国家工作人员职务廉洁性，其收受的贿赂是其利用职务斡旋行为的对价，该行为构成受贿罪。上诉人介绍贿赂、收受贿赂是两个并列的犯罪行为，互不吸收，既不是一个行为侵犯两个法益的想象竞合行为，也不是手段或目的行为的牵连关系，应认定为两罪。本案证据相互印证，足以证实上诉人周某无视国家法律，利用职务上的便利，非法收受他人财物，为他人谋取利益，数额较大；向国家工作人员介绍贿赂，情节严重。依照《中华人民共和国刑法》第三百八十五条第一款、第三百八十六条、第三百八十三条第一款第（一）项、第三百九十二条之规定，应认定上诉人周某犯受贿罪、介绍贿赂罪两罪。根据《中华人民共和国刑法》第六十九条之规定，应对上诉人周某实行数罪并罚。上诉人提出其受贿行为应当吸收介绍贿赂行为，本案应仅以受贿罪追究刑事责任的上诉意见于法无据，本院不予采纳。</w:t>
      </w:r>
    </w:p>
    <w:p w14:paraId="13309522" w14:textId="77777777" w:rsidR="00926FAE" w:rsidRDefault="00926FAE">
      <w:pPr>
        <w:spacing w:line="500" w:lineRule="atLeast"/>
        <w:ind w:firstLine="600"/>
        <w:divId w:val="1466046617"/>
        <w:rPr>
          <w:rFonts w:hint="eastAsia"/>
          <w:sz w:val="30"/>
          <w:szCs w:val="30"/>
        </w:rPr>
      </w:pPr>
      <w:r>
        <w:rPr>
          <w:rFonts w:hint="eastAsia"/>
          <w:sz w:val="30"/>
          <w:szCs w:val="30"/>
        </w:rPr>
        <w:t>2.</w:t>
      </w:r>
      <w:r>
        <w:rPr>
          <w:rFonts w:hint="eastAsia"/>
          <w:sz w:val="30"/>
          <w:szCs w:val="30"/>
        </w:rPr>
        <w:t>根据广州市海珠区人民检察院出具的破案报告及广州市白云区监察局出具的广东省暂时扣留、冻结财物收据，证实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日，上诉人周某向广州市海珠区人民检察院投案自首，并向广州市白云区监察局退缴赃款人民币</w:t>
      </w:r>
      <w:r>
        <w:rPr>
          <w:rFonts w:hint="eastAsia"/>
          <w:sz w:val="30"/>
          <w:szCs w:val="30"/>
        </w:rPr>
        <w:t>50000</w:t>
      </w:r>
      <w:r>
        <w:rPr>
          <w:rFonts w:hint="eastAsia"/>
          <w:sz w:val="30"/>
          <w:szCs w:val="30"/>
        </w:rPr>
        <w:t>元，其行为系犯罪后主动投案并如实供述自己的罪行，是自首。根据《中华人民共和国刑法》第六十七条第一款之规定，可以从轻或者减轻处罚。在介绍贿赂罪中，上诉人周某在被追诉前主动交代介绍贿赂行为的，根据《中华人民共和国刑法》第三百九十二条第二款、《最高人民法院关于处理自首和立功具体应用法律若干问题的解释》第一条、第三条之规定可以减轻处罚。修正后的《刑法修正案（九）》及《最高人民法院、最高人民检察院关于办理贪污贿赂刑事案件适用法律若干问题的解释》（以下简称《解释》）对受贿犯罪主刑法定刑适用数额高于修正前的法律，上诉人周某受贿</w:t>
      </w:r>
      <w:r>
        <w:rPr>
          <w:rFonts w:hint="eastAsia"/>
          <w:sz w:val="30"/>
          <w:szCs w:val="30"/>
        </w:rPr>
        <w:t>50000</w:t>
      </w:r>
      <w:r>
        <w:rPr>
          <w:rFonts w:hint="eastAsia"/>
          <w:sz w:val="30"/>
          <w:szCs w:val="30"/>
        </w:rPr>
        <w:t>元，依照《刑法修正案（九）》前刑法，应在“处五年以上有期徒刑，可以并处没收财产”法定刑幅度处罚；其有自首情节，可以减轻处罚；可以在“处一年以上七年以下有期徒刑”这一幅度处罚。依照《刑法修正案（九）》后刑法及《解释》第一条规定，应在“判处三年以下有期徒刑或拘役，并处罚金”这一幅度处罚，</w:t>
      </w:r>
      <w:r>
        <w:rPr>
          <w:rFonts w:hint="eastAsia"/>
          <w:sz w:val="30"/>
          <w:szCs w:val="30"/>
        </w:rPr>
        <w:t>因此修正后的新法判罚上诉人周某受贿罪主刑显然更轻，依照“从旧兼从轻”的刑法适用原则以及“适用同一法条原则”，主刑、附加刑都应适用新法及《解释》。原审对受贿罪处罚符合上述原则，故量刑适当。但对于介绍贿赂罪，刑法在《刑法修正案（九）》前确定的单一幅度法定刑即“三年以下有期徒刑或拘役”，《刑法修正案（九）》后刑法规定为“三年以下有期徒刑或拘役，并处罚金”，两者相较，新法增加了“罚金刑”，显然新法重于旧法，根据“从旧兼从轻”原则，本案介绍贿赂罪适用旧法，即对上诉人周某介绍贿赂罪不能判处罚金，原判对该罪适用法律不当，应予以纠正。故上诉人周某提出原判介绍贿赂罪量刑过重，且不应对介绍贿赂罪并处罚金的意见于法有据，本院予以采纳。</w:t>
      </w:r>
    </w:p>
    <w:p w14:paraId="49D5FD50" w14:textId="77777777" w:rsidR="00926FAE" w:rsidRDefault="00926FAE">
      <w:pPr>
        <w:spacing w:line="500" w:lineRule="atLeast"/>
        <w:ind w:firstLine="600"/>
        <w:divId w:val="661809038"/>
        <w:rPr>
          <w:rFonts w:hint="eastAsia"/>
          <w:sz w:val="30"/>
          <w:szCs w:val="30"/>
        </w:rPr>
      </w:pPr>
      <w:r>
        <w:rPr>
          <w:rFonts w:hint="eastAsia"/>
          <w:sz w:val="30"/>
          <w:szCs w:val="30"/>
        </w:rPr>
        <w:t>3.</w:t>
      </w:r>
      <w:r>
        <w:rPr>
          <w:rFonts w:hint="eastAsia"/>
          <w:sz w:val="30"/>
          <w:szCs w:val="30"/>
        </w:rPr>
        <w:t>根据广州市海珠区人民检察院出具的破案报告、起诉书及移送广州市海珠区人民法院提起公诉的相关书证，证实上诉人周某犯介绍贿赂罪终了之日为</w:t>
      </w:r>
      <w:r>
        <w:rPr>
          <w:rFonts w:hint="eastAsia"/>
          <w:sz w:val="30"/>
          <w:szCs w:val="30"/>
        </w:rPr>
        <w:t>2010</w:t>
      </w:r>
      <w:r>
        <w:rPr>
          <w:rFonts w:hint="eastAsia"/>
          <w:sz w:val="30"/>
          <w:szCs w:val="30"/>
        </w:rPr>
        <w:t>年下半年，受贿罪的犯罪行为终了之日为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月，根据《中华人民共和国刑法》第八十七条第一款、第八十九条，本案的追诉时效为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月止，而本案已于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日由广州市海珠区人民检察院诉至广州市海珠区人民法院，并未超过追诉时效。上诉人提出本案已过追诉时效，应当终止审理的意见于法无据，本院不予采纳。</w:t>
      </w:r>
    </w:p>
    <w:p w14:paraId="3163B63D" w14:textId="77777777" w:rsidR="00926FAE" w:rsidRDefault="00926FAE">
      <w:pPr>
        <w:spacing w:line="500" w:lineRule="atLeast"/>
        <w:ind w:firstLine="600"/>
        <w:divId w:val="1245653446"/>
        <w:rPr>
          <w:rFonts w:hint="eastAsia"/>
          <w:sz w:val="30"/>
          <w:szCs w:val="30"/>
        </w:rPr>
      </w:pPr>
      <w:r>
        <w:rPr>
          <w:rFonts w:hint="eastAsia"/>
          <w:sz w:val="30"/>
          <w:szCs w:val="30"/>
        </w:rPr>
        <w:t>本院认为，上诉人周某无视国家法律，利用职务上的便利，非法收受他人财物，为他人谋取利益，数额较大，其行为已构成受贿罪；上诉人周某向国家工作人员介绍贿赂，情节严重，其行为另构成介绍贿赂罪，依法应对其实行数罪并罚。其在犯罪后自动投案，并如实供述自己的罪行，是自首，可依法对其从轻或减轻处罚。原判认定事实清楚，证据确实、充分，定罪准确，唯适用法律不当，应予纠正。依照《中华人民共和国刑法》第三百八十五条第一款、第三百八十六条、第三百八十三条第一款第（一）项、第三百九十二条、第六十七条第一款、第六十四条、《最高人民法院、最高人民检察院关于办理贪污贿赂刑事案件适用法律若干问题的解释》第一条、第十九条、《最高人民法院关于处理自首和立功具体应用法律若干问题的解释》第一条、第三条及《中华人民共和国刑事诉讼法》第二百二十五条第一款第（二）项之规定，判决如下：</w:t>
      </w:r>
    </w:p>
    <w:p w14:paraId="59530346" w14:textId="77777777" w:rsidR="00926FAE" w:rsidRDefault="00926FAE">
      <w:pPr>
        <w:spacing w:line="500" w:lineRule="atLeast"/>
        <w:ind w:firstLine="600"/>
        <w:divId w:val="390226835"/>
        <w:rPr>
          <w:rFonts w:hint="eastAsia"/>
          <w:sz w:val="30"/>
          <w:szCs w:val="30"/>
        </w:rPr>
      </w:pPr>
      <w:r>
        <w:rPr>
          <w:rFonts w:hint="eastAsia"/>
          <w:sz w:val="30"/>
          <w:szCs w:val="30"/>
        </w:rPr>
        <w:t>一、维持广州市海珠区人民法院（</w:t>
      </w:r>
      <w:r>
        <w:rPr>
          <w:rFonts w:hint="eastAsia"/>
          <w:sz w:val="30"/>
          <w:szCs w:val="30"/>
        </w:rPr>
        <w:t>2015</w:t>
      </w:r>
      <w:r>
        <w:rPr>
          <w:rFonts w:hint="eastAsia"/>
          <w:sz w:val="30"/>
          <w:szCs w:val="30"/>
        </w:rPr>
        <w:t>）穗海法刑初字第</w:t>
      </w:r>
      <w:r>
        <w:rPr>
          <w:rFonts w:hint="eastAsia"/>
          <w:sz w:val="30"/>
          <w:szCs w:val="30"/>
        </w:rPr>
        <w:t>805</w:t>
      </w:r>
      <w:r>
        <w:rPr>
          <w:rFonts w:hint="eastAsia"/>
          <w:sz w:val="30"/>
          <w:szCs w:val="30"/>
        </w:rPr>
        <w:t>号刑事判决的第一项对上诉人周某犯受贿罪定罪及量刑部分、犯介绍贿赂罪的主刑部分及该刑事判决的第二、三项。</w:t>
      </w:r>
    </w:p>
    <w:p w14:paraId="60B16859" w14:textId="77777777" w:rsidR="00926FAE" w:rsidRDefault="00926FAE">
      <w:pPr>
        <w:spacing w:line="500" w:lineRule="atLeast"/>
        <w:ind w:firstLine="600"/>
        <w:divId w:val="886112976"/>
        <w:rPr>
          <w:rFonts w:hint="eastAsia"/>
          <w:sz w:val="30"/>
          <w:szCs w:val="30"/>
        </w:rPr>
      </w:pPr>
      <w:r>
        <w:rPr>
          <w:rFonts w:hint="eastAsia"/>
          <w:sz w:val="30"/>
          <w:szCs w:val="30"/>
        </w:rPr>
        <w:t>二、撤销广州市海珠区人民法院（</w:t>
      </w:r>
      <w:r>
        <w:rPr>
          <w:rFonts w:hint="eastAsia"/>
          <w:sz w:val="30"/>
          <w:szCs w:val="30"/>
        </w:rPr>
        <w:t>2015</w:t>
      </w:r>
      <w:r>
        <w:rPr>
          <w:rFonts w:hint="eastAsia"/>
          <w:sz w:val="30"/>
          <w:szCs w:val="30"/>
        </w:rPr>
        <w:t>）穗海法刑初字第</w:t>
      </w:r>
      <w:r>
        <w:rPr>
          <w:rFonts w:hint="eastAsia"/>
          <w:sz w:val="30"/>
          <w:szCs w:val="30"/>
        </w:rPr>
        <w:t>805</w:t>
      </w:r>
      <w:r>
        <w:rPr>
          <w:rFonts w:hint="eastAsia"/>
          <w:sz w:val="30"/>
          <w:szCs w:val="30"/>
        </w:rPr>
        <w:t>号刑事判决第一项对上诉人周某介绍贿赂罪判决的罚金刑部分。</w:t>
      </w:r>
    </w:p>
    <w:p w14:paraId="10FD08F5" w14:textId="77777777" w:rsidR="00926FAE" w:rsidRDefault="00926FAE">
      <w:pPr>
        <w:spacing w:line="500" w:lineRule="atLeast"/>
        <w:ind w:firstLine="600"/>
        <w:divId w:val="1931573579"/>
        <w:rPr>
          <w:rFonts w:hint="eastAsia"/>
          <w:sz w:val="30"/>
          <w:szCs w:val="30"/>
        </w:rPr>
      </w:pPr>
      <w:r>
        <w:rPr>
          <w:rFonts w:hint="eastAsia"/>
          <w:sz w:val="30"/>
          <w:szCs w:val="30"/>
        </w:rPr>
        <w:t>三、上诉人周某犯受贿罪，判处有期徒刑六个月，并处罚金人民币十万元；犯介绍贿赂罪，判处有期徒刑六个月。总和刑为有期徒刑一年，并处罚金人民币十万元。决定执行有期徒刑九个月，并处罚金人民币十万元（刑期从判决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日止；罚金在本判决发生法律效力之次日起三十日内缴纳）。</w:t>
      </w:r>
    </w:p>
    <w:p w14:paraId="564D64B0" w14:textId="77777777" w:rsidR="00926FAE" w:rsidRDefault="00926FAE">
      <w:pPr>
        <w:spacing w:line="500" w:lineRule="atLeast"/>
        <w:ind w:firstLine="600"/>
        <w:divId w:val="1745685681"/>
        <w:rPr>
          <w:rFonts w:hint="eastAsia"/>
          <w:sz w:val="30"/>
          <w:szCs w:val="30"/>
        </w:rPr>
      </w:pPr>
      <w:r>
        <w:rPr>
          <w:rFonts w:hint="eastAsia"/>
          <w:sz w:val="30"/>
          <w:szCs w:val="30"/>
        </w:rPr>
        <w:t>本判决为终审判决。</w:t>
      </w:r>
    </w:p>
    <w:p w14:paraId="721C8AED" w14:textId="77777777" w:rsidR="00926FAE" w:rsidRDefault="00926FAE">
      <w:pPr>
        <w:spacing w:line="500" w:lineRule="atLeast"/>
        <w:jc w:val="right"/>
        <w:divId w:val="1974559526"/>
        <w:rPr>
          <w:rFonts w:hint="eastAsia"/>
          <w:sz w:val="30"/>
          <w:szCs w:val="30"/>
        </w:rPr>
      </w:pPr>
      <w:r>
        <w:rPr>
          <w:rFonts w:hint="eastAsia"/>
          <w:sz w:val="30"/>
          <w:szCs w:val="30"/>
        </w:rPr>
        <w:t>审　判　长　　赵　俊</w:t>
      </w:r>
    </w:p>
    <w:p w14:paraId="4C0AA1E1" w14:textId="77777777" w:rsidR="00926FAE" w:rsidRDefault="00926FAE">
      <w:pPr>
        <w:spacing w:line="500" w:lineRule="atLeast"/>
        <w:jc w:val="right"/>
        <w:divId w:val="1459761272"/>
        <w:rPr>
          <w:rFonts w:hint="eastAsia"/>
          <w:sz w:val="30"/>
          <w:szCs w:val="30"/>
        </w:rPr>
      </w:pPr>
      <w:r>
        <w:rPr>
          <w:rFonts w:hint="eastAsia"/>
          <w:sz w:val="30"/>
          <w:szCs w:val="30"/>
        </w:rPr>
        <w:t>审　判　员　　幸　福</w:t>
      </w:r>
    </w:p>
    <w:p w14:paraId="4EF11146" w14:textId="77777777" w:rsidR="00926FAE" w:rsidRDefault="00926FAE">
      <w:pPr>
        <w:spacing w:line="500" w:lineRule="atLeast"/>
        <w:jc w:val="right"/>
        <w:divId w:val="2099401719"/>
        <w:rPr>
          <w:rFonts w:hint="eastAsia"/>
          <w:sz w:val="30"/>
          <w:szCs w:val="30"/>
        </w:rPr>
      </w:pPr>
      <w:r>
        <w:rPr>
          <w:rFonts w:hint="eastAsia"/>
          <w:sz w:val="30"/>
          <w:szCs w:val="30"/>
        </w:rPr>
        <w:t>代理审判员　　温晓雅</w:t>
      </w:r>
    </w:p>
    <w:p w14:paraId="113090C9" w14:textId="77777777" w:rsidR="00926FAE" w:rsidRDefault="00926FAE">
      <w:pPr>
        <w:spacing w:line="500" w:lineRule="atLeast"/>
        <w:jc w:val="right"/>
        <w:divId w:val="1435594533"/>
        <w:rPr>
          <w:rFonts w:hint="eastAsia"/>
          <w:sz w:val="30"/>
          <w:szCs w:val="30"/>
        </w:rPr>
      </w:pPr>
      <w:r>
        <w:rPr>
          <w:rFonts w:hint="eastAsia"/>
          <w:sz w:val="30"/>
          <w:szCs w:val="30"/>
        </w:rPr>
        <w:t>二〇一六年十月十一日</w:t>
      </w:r>
    </w:p>
    <w:p w14:paraId="0F2F2725" w14:textId="77777777" w:rsidR="00926FAE" w:rsidRDefault="00926FAE">
      <w:pPr>
        <w:spacing w:line="500" w:lineRule="atLeast"/>
        <w:jc w:val="right"/>
        <w:divId w:val="101607124"/>
        <w:rPr>
          <w:rFonts w:hint="eastAsia"/>
          <w:sz w:val="30"/>
          <w:szCs w:val="30"/>
        </w:rPr>
      </w:pPr>
      <w:r>
        <w:rPr>
          <w:rFonts w:hint="eastAsia"/>
          <w:sz w:val="30"/>
          <w:szCs w:val="30"/>
        </w:rPr>
        <w:t>书　记　员　　尹文龙</w:t>
      </w:r>
    </w:p>
    <w:p w14:paraId="1EFD6BCB" w14:textId="77777777" w:rsidR="00926FAE" w:rsidRDefault="00926FAE">
      <w:pPr>
        <w:spacing w:line="500" w:lineRule="atLeast"/>
        <w:ind w:firstLine="600"/>
        <w:divId w:val="2072534714"/>
        <w:rPr>
          <w:rFonts w:hint="eastAsia"/>
          <w:sz w:val="30"/>
          <w:szCs w:val="30"/>
        </w:rPr>
      </w:pPr>
      <w:r>
        <w:rPr>
          <w:rFonts w:hint="eastAsia"/>
          <w:sz w:val="30"/>
          <w:szCs w:val="30"/>
        </w:rPr>
        <w:t>潘筱茜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7B476" w14:textId="77777777" w:rsidR="00292F1D" w:rsidRDefault="00292F1D" w:rsidP="00292F1D">
      <w:pPr>
        <w:rPr>
          <w:rFonts w:hint="eastAsia"/>
        </w:rPr>
      </w:pPr>
      <w:r>
        <w:separator/>
      </w:r>
    </w:p>
  </w:endnote>
  <w:endnote w:type="continuationSeparator" w:id="0">
    <w:p w14:paraId="765AA00C" w14:textId="77777777" w:rsidR="00292F1D" w:rsidRDefault="00292F1D" w:rsidP="00292F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48CA7" w14:textId="77777777" w:rsidR="00292F1D" w:rsidRDefault="00292F1D" w:rsidP="00292F1D">
      <w:pPr>
        <w:rPr>
          <w:rFonts w:hint="eastAsia"/>
        </w:rPr>
      </w:pPr>
      <w:r>
        <w:separator/>
      </w:r>
    </w:p>
  </w:footnote>
  <w:footnote w:type="continuationSeparator" w:id="0">
    <w:p w14:paraId="43701C85" w14:textId="77777777" w:rsidR="00292F1D" w:rsidRDefault="00292F1D" w:rsidP="00292F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2F1D"/>
    <w:rsid w:val="00292F1D"/>
    <w:rsid w:val="00926FA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4DDF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2F1D"/>
    <w:pPr>
      <w:tabs>
        <w:tab w:val="center" w:pos="4153"/>
        <w:tab w:val="right" w:pos="8306"/>
      </w:tabs>
      <w:snapToGrid w:val="0"/>
      <w:jc w:val="center"/>
    </w:pPr>
    <w:rPr>
      <w:sz w:val="18"/>
      <w:szCs w:val="18"/>
    </w:rPr>
  </w:style>
  <w:style w:type="character" w:customStyle="1" w:styleId="a4">
    <w:name w:val="页眉 字符"/>
    <w:basedOn w:val="a0"/>
    <w:link w:val="a3"/>
    <w:uiPriority w:val="99"/>
    <w:rsid w:val="00292F1D"/>
    <w:rPr>
      <w:rFonts w:ascii="宋体" w:eastAsia="宋体" w:hAnsi="宋体" w:cs="宋体"/>
      <w:sz w:val="18"/>
      <w:szCs w:val="18"/>
    </w:rPr>
  </w:style>
  <w:style w:type="paragraph" w:styleId="a5">
    <w:name w:val="footer"/>
    <w:basedOn w:val="a"/>
    <w:link w:val="a6"/>
    <w:uiPriority w:val="99"/>
    <w:unhideWhenUsed/>
    <w:rsid w:val="00292F1D"/>
    <w:pPr>
      <w:tabs>
        <w:tab w:val="center" w:pos="4153"/>
        <w:tab w:val="right" w:pos="8306"/>
      </w:tabs>
      <w:snapToGrid w:val="0"/>
    </w:pPr>
    <w:rPr>
      <w:sz w:val="18"/>
      <w:szCs w:val="18"/>
    </w:rPr>
  </w:style>
  <w:style w:type="character" w:customStyle="1" w:styleId="a6">
    <w:name w:val="页脚 字符"/>
    <w:basedOn w:val="a0"/>
    <w:link w:val="a5"/>
    <w:uiPriority w:val="99"/>
    <w:rsid w:val="00292F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0960">
      <w:marLeft w:val="0"/>
      <w:marRight w:val="0"/>
      <w:marTop w:val="10"/>
      <w:marBottom w:val="10"/>
      <w:divBdr>
        <w:top w:val="none" w:sz="0" w:space="0" w:color="auto"/>
        <w:left w:val="none" w:sz="0" w:space="0" w:color="auto"/>
        <w:bottom w:val="none" w:sz="0" w:space="0" w:color="auto"/>
        <w:right w:val="none" w:sz="0" w:space="0" w:color="auto"/>
      </w:divBdr>
    </w:div>
    <w:div w:id="101607124">
      <w:marLeft w:val="0"/>
      <w:marRight w:val="720"/>
      <w:marTop w:val="10"/>
      <w:marBottom w:val="10"/>
      <w:divBdr>
        <w:top w:val="none" w:sz="0" w:space="0" w:color="auto"/>
        <w:left w:val="none" w:sz="0" w:space="0" w:color="auto"/>
        <w:bottom w:val="none" w:sz="0" w:space="0" w:color="auto"/>
        <w:right w:val="none" w:sz="0" w:space="0" w:color="auto"/>
      </w:divBdr>
    </w:div>
    <w:div w:id="126633265">
      <w:marLeft w:val="0"/>
      <w:marRight w:val="0"/>
      <w:marTop w:val="10"/>
      <w:marBottom w:val="10"/>
      <w:divBdr>
        <w:top w:val="none" w:sz="0" w:space="0" w:color="auto"/>
        <w:left w:val="none" w:sz="0" w:space="0" w:color="auto"/>
        <w:bottom w:val="none" w:sz="0" w:space="0" w:color="auto"/>
        <w:right w:val="none" w:sz="0" w:space="0" w:color="auto"/>
      </w:divBdr>
    </w:div>
    <w:div w:id="390226835">
      <w:marLeft w:val="0"/>
      <w:marRight w:val="0"/>
      <w:marTop w:val="10"/>
      <w:marBottom w:val="10"/>
      <w:divBdr>
        <w:top w:val="none" w:sz="0" w:space="0" w:color="auto"/>
        <w:left w:val="none" w:sz="0" w:space="0" w:color="auto"/>
        <w:bottom w:val="none" w:sz="0" w:space="0" w:color="auto"/>
        <w:right w:val="none" w:sz="0" w:space="0" w:color="auto"/>
      </w:divBdr>
    </w:div>
    <w:div w:id="470170293">
      <w:marLeft w:val="0"/>
      <w:marRight w:val="0"/>
      <w:marTop w:val="10"/>
      <w:marBottom w:val="10"/>
      <w:divBdr>
        <w:top w:val="none" w:sz="0" w:space="0" w:color="auto"/>
        <w:left w:val="none" w:sz="0" w:space="0" w:color="auto"/>
        <w:bottom w:val="none" w:sz="0" w:space="0" w:color="auto"/>
        <w:right w:val="none" w:sz="0" w:space="0" w:color="auto"/>
      </w:divBdr>
    </w:div>
    <w:div w:id="558135433">
      <w:marLeft w:val="0"/>
      <w:marRight w:val="0"/>
      <w:marTop w:val="10"/>
      <w:marBottom w:val="10"/>
      <w:divBdr>
        <w:top w:val="none" w:sz="0" w:space="0" w:color="auto"/>
        <w:left w:val="none" w:sz="0" w:space="0" w:color="auto"/>
        <w:bottom w:val="none" w:sz="0" w:space="0" w:color="auto"/>
        <w:right w:val="none" w:sz="0" w:space="0" w:color="auto"/>
      </w:divBdr>
    </w:div>
    <w:div w:id="661809038">
      <w:marLeft w:val="0"/>
      <w:marRight w:val="0"/>
      <w:marTop w:val="10"/>
      <w:marBottom w:val="10"/>
      <w:divBdr>
        <w:top w:val="none" w:sz="0" w:space="0" w:color="auto"/>
        <w:left w:val="none" w:sz="0" w:space="0" w:color="auto"/>
        <w:bottom w:val="none" w:sz="0" w:space="0" w:color="auto"/>
        <w:right w:val="none" w:sz="0" w:space="0" w:color="auto"/>
      </w:divBdr>
    </w:div>
    <w:div w:id="782194170">
      <w:marLeft w:val="0"/>
      <w:marRight w:val="0"/>
      <w:marTop w:val="10"/>
      <w:marBottom w:val="10"/>
      <w:divBdr>
        <w:top w:val="none" w:sz="0" w:space="0" w:color="auto"/>
        <w:left w:val="none" w:sz="0" w:space="0" w:color="auto"/>
        <w:bottom w:val="none" w:sz="0" w:space="0" w:color="auto"/>
        <w:right w:val="none" w:sz="0" w:space="0" w:color="auto"/>
      </w:divBdr>
    </w:div>
    <w:div w:id="886112976">
      <w:marLeft w:val="0"/>
      <w:marRight w:val="0"/>
      <w:marTop w:val="10"/>
      <w:marBottom w:val="10"/>
      <w:divBdr>
        <w:top w:val="none" w:sz="0" w:space="0" w:color="auto"/>
        <w:left w:val="none" w:sz="0" w:space="0" w:color="auto"/>
        <w:bottom w:val="none" w:sz="0" w:space="0" w:color="auto"/>
        <w:right w:val="none" w:sz="0" w:space="0" w:color="auto"/>
      </w:divBdr>
    </w:div>
    <w:div w:id="919758475">
      <w:marLeft w:val="0"/>
      <w:marRight w:val="0"/>
      <w:marTop w:val="10"/>
      <w:marBottom w:val="10"/>
      <w:divBdr>
        <w:top w:val="none" w:sz="0" w:space="0" w:color="auto"/>
        <w:left w:val="none" w:sz="0" w:space="0" w:color="auto"/>
        <w:bottom w:val="none" w:sz="0" w:space="0" w:color="auto"/>
        <w:right w:val="none" w:sz="0" w:space="0" w:color="auto"/>
      </w:divBdr>
    </w:div>
    <w:div w:id="983242342">
      <w:marLeft w:val="0"/>
      <w:marRight w:val="0"/>
      <w:marTop w:val="10"/>
      <w:marBottom w:val="10"/>
      <w:divBdr>
        <w:top w:val="none" w:sz="0" w:space="0" w:color="auto"/>
        <w:left w:val="none" w:sz="0" w:space="0" w:color="auto"/>
        <w:bottom w:val="none" w:sz="0" w:space="0" w:color="auto"/>
        <w:right w:val="none" w:sz="0" w:space="0" w:color="auto"/>
      </w:divBdr>
    </w:div>
    <w:div w:id="991328178">
      <w:marLeft w:val="0"/>
      <w:marRight w:val="0"/>
      <w:marTop w:val="10"/>
      <w:marBottom w:val="10"/>
      <w:divBdr>
        <w:top w:val="none" w:sz="0" w:space="0" w:color="auto"/>
        <w:left w:val="none" w:sz="0" w:space="0" w:color="auto"/>
        <w:bottom w:val="none" w:sz="0" w:space="0" w:color="auto"/>
        <w:right w:val="none" w:sz="0" w:space="0" w:color="auto"/>
      </w:divBdr>
    </w:div>
    <w:div w:id="1002199326">
      <w:marLeft w:val="0"/>
      <w:marRight w:val="0"/>
      <w:marTop w:val="10"/>
      <w:marBottom w:val="10"/>
      <w:divBdr>
        <w:top w:val="none" w:sz="0" w:space="0" w:color="auto"/>
        <w:left w:val="none" w:sz="0" w:space="0" w:color="auto"/>
        <w:bottom w:val="none" w:sz="0" w:space="0" w:color="auto"/>
        <w:right w:val="none" w:sz="0" w:space="0" w:color="auto"/>
      </w:divBdr>
    </w:div>
    <w:div w:id="1096638166">
      <w:marLeft w:val="0"/>
      <w:marRight w:val="0"/>
      <w:marTop w:val="10"/>
      <w:marBottom w:val="10"/>
      <w:divBdr>
        <w:top w:val="none" w:sz="0" w:space="0" w:color="auto"/>
        <w:left w:val="none" w:sz="0" w:space="0" w:color="auto"/>
        <w:bottom w:val="none" w:sz="0" w:space="0" w:color="auto"/>
        <w:right w:val="none" w:sz="0" w:space="0" w:color="auto"/>
      </w:divBdr>
    </w:div>
    <w:div w:id="1111818255">
      <w:marLeft w:val="0"/>
      <w:marRight w:val="0"/>
      <w:marTop w:val="10"/>
      <w:marBottom w:val="10"/>
      <w:divBdr>
        <w:top w:val="none" w:sz="0" w:space="0" w:color="auto"/>
        <w:left w:val="none" w:sz="0" w:space="0" w:color="auto"/>
        <w:bottom w:val="none" w:sz="0" w:space="0" w:color="auto"/>
        <w:right w:val="none" w:sz="0" w:space="0" w:color="auto"/>
      </w:divBdr>
    </w:div>
    <w:div w:id="1158614559">
      <w:marLeft w:val="0"/>
      <w:marRight w:val="0"/>
      <w:marTop w:val="10"/>
      <w:marBottom w:val="10"/>
      <w:divBdr>
        <w:top w:val="none" w:sz="0" w:space="0" w:color="auto"/>
        <w:left w:val="none" w:sz="0" w:space="0" w:color="auto"/>
        <w:bottom w:val="none" w:sz="0" w:space="0" w:color="auto"/>
        <w:right w:val="none" w:sz="0" w:space="0" w:color="auto"/>
      </w:divBdr>
    </w:div>
    <w:div w:id="1245653446">
      <w:marLeft w:val="0"/>
      <w:marRight w:val="0"/>
      <w:marTop w:val="10"/>
      <w:marBottom w:val="10"/>
      <w:divBdr>
        <w:top w:val="none" w:sz="0" w:space="0" w:color="auto"/>
        <w:left w:val="none" w:sz="0" w:space="0" w:color="auto"/>
        <w:bottom w:val="none" w:sz="0" w:space="0" w:color="auto"/>
        <w:right w:val="none" w:sz="0" w:space="0" w:color="auto"/>
      </w:divBdr>
    </w:div>
    <w:div w:id="1326740246">
      <w:marLeft w:val="0"/>
      <w:marRight w:val="0"/>
      <w:marTop w:val="10"/>
      <w:marBottom w:val="10"/>
      <w:divBdr>
        <w:top w:val="none" w:sz="0" w:space="0" w:color="auto"/>
        <w:left w:val="none" w:sz="0" w:space="0" w:color="auto"/>
        <w:bottom w:val="none" w:sz="0" w:space="0" w:color="auto"/>
        <w:right w:val="none" w:sz="0" w:space="0" w:color="auto"/>
      </w:divBdr>
    </w:div>
    <w:div w:id="1435594533">
      <w:marLeft w:val="0"/>
      <w:marRight w:val="720"/>
      <w:marTop w:val="10"/>
      <w:marBottom w:val="10"/>
      <w:divBdr>
        <w:top w:val="none" w:sz="0" w:space="0" w:color="auto"/>
        <w:left w:val="none" w:sz="0" w:space="0" w:color="auto"/>
        <w:bottom w:val="none" w:sz="0" w:space="0" w:color="auto"/>
        <w:right w:val="none" w:sz="0" w:space="0" w:color="auto"/>
      </w:divBdr>
    </w:div>
    <w:div w:id="1459761272">
      <w:marLeft w:val="0"/>
      <w:marRight w:val="720"/>
      <w:marTop w:val="10"/>
      <w:marBottom w:val="10"/>
      <w:divBdr>
        <w:top w:val="none" w:sz="0" w:space="0" w:color="auto"/>
        <w:left w:val="none" w:sz="0" w:space="0" w:color="auto"/>
        <w:bottom w:val="none" w:sz="0" w:space="0" w:color="auto"/>
        <w:right w:val="none" w:sz="0" w:space="0" w:color="auto"/>
      </w:divBdr>
    </w:div>
    <w:div w:id="1466046617">
      <w:marLeft w:val="0"/>
      <w:marRight w:val="0"/>
      <w:marTop w:val="10"/>
      <w:marBottom w:val="10"/>
      <w:divBdr>
        <w:top w:val="none" w:sz="0" w:space="0" w:color="auto"/>
        <w:left w:val="none" w:sz="0" w:space="0" w:color="auto"/>
        <w:bottom w:val="none" w:sz="0" w:space="0" w:color="auto"/>
        <w:right w:val="none" w:sz="0" w:space="0" w:color="auto"/>
      </w:divBdr>
    </w:div>
    <w:div w:id="1476533852">
      <w:marLeft w:val="0"/>
      <w:marRight w:val="0"/>
      <w:marTop w:val="10"/>
      <w:marBottom w:val="10"/>
      <w:divBdr>
        <w:top w:val="none" w:sz="0" w:space="0" w:color="auto"/>
        <w:left w:val="none" w:sz="0" w:space="0" w:color="auto"/>
        <w:bottom w:val="none" w:sz="0" w:space="0" w:color="auto"/>
        <w:right w:val="none" w:sz="0" w:space="0" w:color="auto"/>
      </w:divBdr>
    </w:div>
    <w:div w:id="1486318598">
      <w:marLeft w:val="0"/>
      <w:marRight w:val="0"/>
      <w:marTop w:val="10"/>
      <w:marBottom w:val="10"/>
      <w:divBdr>
        <w:top w:val="none" w:sz="0" w:space="0" w:color="auto"/>
        <w:left w:val="none" w:sz="0" w:space="0" w:color="auto"/>
        <w:bottom w:val="none" w:sz="0" w:space="0" w:color="auto"/>
        <w:right w:val="none" w:sz="0" w:space="0" w:color="auto"/>
      </w:divBdr>
    </w:div>
    <w:div w:id="1605923022">
      <w:marLeft w:val="0"/>
      <w:marRight w:val="0"/>
      <w:marTop w:val="10"/>
      <w:marBottom w:val="10"/>
      <w:divBdr>
        <w:top w:val="none" w:sz="0" w:space="0" w:color="auto"/>
        <w:left w:val="none" w:sz="0" w:space="0" w:color="auto"/>
        <w:bottom w:val="none" w:sz="0" w:space="0" w:color="auto"/>
        <w:right w:val="none" w:sz="0" w:space="0" w:color="auto"/>
      </w:divBdr>
    </w:div>
    <w:div w:id="1745685681">
      <w:marLeft w:val="0"/>
      <w:marRight w:val="0"/>
      <w:marTop w:val="10"/>
      <w:marBottom w:val="10"/>
      <w:divBdr>
        <w:top w:val="none" w:sz="0" w:space="0" w:color="auto"/>
        <w:left w:val="none" w:sz="0" w:space="0" w:color="auto"/>
        <w:bottom w:val="none" w:sz="0" w:space="0" w:color="auto"/>
        <w:right w:val="none" w:sz="0" w:space="0" w:color="auto"/>
      </w:divBdr>
    </w:div>
    <w:div w:id="1909723415">
      <w:marLeft w:val="0"/>
      <w:marRight w:val="0"/>
      <w:marTop w:val="10"/>
      <w:marBottom w:val="10"/>
      <w:divBdr>
        <w:top w:val="none" w:sz="0" w:space="0" w:color="auto"/>
        <w:left w:val="none" w:sz="0" w:space="0" w:color="auto"/>
        <w:bottom w:val="none" w:sz="0" w:space="0" w:color="auto"/>
        <w:right w:val="none" w:sz="0" w:space="0" w:color="auto"/>
      </w:divBdr>
    </w:div>
    <w:div w:id="1922375670">
      <w:marLeft w:val="0"/>
      <w:marRight w:val="0"/>
      <w:marTop w:val="10"/>
      <w:marBottom w:val="10"/>
      <w:divBdr>
        <w:top w:val="none" w:sz="0" w:space="0" w:color="auto"/>
        <w:left w:val="none" w:sz="0" w:space="0" w:color="auto"/>
        <w:bottom w:val="none" w:sz="0" w:space="0" w:color="auto"/>
        <w:right w:val="none" w:sz="0" w:space="0" w:color="auto"/>
      </w:divBdr>
    </w:div>
    <w:div w:id="1928928352">
      <w:marLeft w:val="0"/>
      <w:marRight w:val="0"/>
      <w:marTop w:val="10"/>
      <w:marBottom w:val="10"/>
      <w:divBdr>
        <w:top w:val="none" w:sz="0" w:space="0" w:color="auto"/>
        <w:left w:val="none" w:sz="0" w:space="0" w:color="auto"/>
        <w:bottom w:val="none" w:sz="0" w:space="0" w:color="auto"/>
        <w:right w:val="none" w:sz="0" w:space="0" w:color="auto"/>
      </w:divBdr>
    </w:div>
    <w:div w:id="1931573579">
      <w:marLeft w:val="0"/>
      <w:marRight w:val="0"/>
      <w:marTop w:val="10"/>
      <w:marBottom w:val="10"/>
      <w:divBdr>
        <w:top w:val="none" w:sz="0" w:space="0" w:color="auto"/>
        <w:left w:val="none" w:sz="0" w:space="0" w:color="auto"/>
        <w:bottom w:val="none" w:sz="0" w:space="0" w:color="auto"/>
        <w:right w:val="none" w:sz="0" w:space="0" w:color="auto"/>
      </w:divBdr>
    </w:div>
    <w:div w:id="1974559526">
      <w:marLeft w:val="0"/>
      <w:marRight w:val="720"/>
      <w:marTop w:val="10"/>
      <w:marBottom w:val="10"/>
      <w:divBdr>
        <w:top w:val="none" w:sz="0" w:space="0" w:color="auto"/>
        <w:left w:val="none" w:sz="0" w:space="0" w:color="auto"/>
        <w:bottom w:val="none" w:sz="0" w:space="0" w:color="auto"/>
        <w:right w:val="none" w:sz="0" w:space="0" w:color="auto"/>
      </w:divBdr>
    </w:div>
    <w:div w:id="2072534714">
      <w:marLeft w:val="0"/>
      <w:marRight w:val="0"/>
      <w:marTop w:val="10"/>
      <w:marBottom w:val="10"/>
      <w:divBdr>
        <w:top w:val="none" w:sz="0" w:space="0" w:color="auto"/>
        <w:left w:val="none" w:sz="0" w:space="0" w:color="auto"/>
        <w:bottom w:val="none" w:sz="0" w:space="0" w:color="auto"/>
        <w:right w:val="none" w:sz="0" w:space="0" w:color="auto"/>
      </w:divBdr>
    </w:div>
    <w:div w:id="2080789096">
      <w:marLeft w:val="0"/>
      <w:marRight w:val="0"/>
      <w:marTop w:val="10"/>
      <w:marBottom w:val="10"/>
      <w:divBdr>
        <w:top w:val="none" w:sz="0" w:space="0" w:color="auto"/>
        <w:left w:val="none" w:sz="0" w:space="0" w:color="auto"/>
        <w:bottom w:val="none" w:sz="0" w:space="0" w:color="auto"/>
        <w:right w:val="none" w:sz="0" w:space="0" w:color="auto"/>
      </w:divBdr>
    </w:div>
    <w:div w:id="209940171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2025-04-30T04:23:00Z</dcterms:created>
  <dcterms:modified xsi:type="dcterms:W3CDTF">2025-04-30T04:23:00Z</dcterms:modified>
</cp:coreProperties>
</file>