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E935" w14:textId="77777777" w:rsidR="00540287" w:rsidRDefault="00540287">
      <w:pPr>
        <w:spacing w:line="500" w:lineRule="atLeast"/>
        <w:jc w:val="center"/>
        <w:divId w:val="201001388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14:paraId="03545AAB" w14:textId="77777777" w:rsidR="00540287" w:rsidRDefault="00540287">
      <w:pPr>
        <w:spacing w:line="500" w:lineRule="atLeast"/>
        <w:jc w:val="center"/>
        <w:divId w:val="36183160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626FF60" w14:textId="77777777" w:rsidR="00540287" w:rsidRDefault="00540287">
      <w:pPr>
        <w:spacing w:line="500" w:lineRule="atLeast"/>
        <w:jc w:val="right"/>
        <w:divId w:val="12727809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1635</w:t>
      </w:r>
      <w:r>
        <w:rPr>
          <w:rFonts w:hint="eastAsia"/>
          <w:sz w:val="30"/>
          <w:szCs w:val="30"/>
        </w:rPr>
        <w:t>号</w:t>
      </w:r>
    </w:p>
    <w:p w14:paraId="311FFAFE" w14:textId="77777777" w:rsidR="00540287" w:rsidRDefault="00540287">
      <w:pPr>
        <w:spacing w:line="500" w:lineRule="atLeast"/>
        <w:ind w:firstLine="600"/>
        <w:divId w:val="11141349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公诉机关广东省深圳市南山区人民检察院。</w:t>
      </w:r>
    </w:p>
    <w:p w14:paraId="32ECA915" w14:textId="77777777" w:rsidR="00540287" w:rsidRDefault="00540287">
      <w:pPr>
        <w:spacing w:line="500" w:lineRule="atLeast"/>
        <w:ind w:firstLine="600"/>
        <w:divId w:val="8725740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被告单位广东佳彩数码科技有限公司（以下简称“佳彩公司”），地址：东莞市企石镇，法定代表人张福柱。</w:t>
      </w:r>
    </w:p>
    <w:p w14:paraId="3C1F570E" w14:textId="77777777" w:rsidR="00540287" w:rsidRDefault="00540287">
      <w:pPr>
        <w:spacing w:line="500" w:lineRule="atLeast"/>
        <w:ind w:firstLine="600"/>
        <w:divId w:val="4967737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诉讼代表人陈晓雯，女，广东尚宽律师事务所律师，系被告单位破产管理人。</w:t>
      </w:r>
    </w:p>
    <w:p w14:paraId="195B986B" w14:textId="77777777" w:rsidR="00540287" w:rsidRDefault="00540287">
      <w:pPr>
        <w:spacing w:line="500" w:lineRule="atLeast"/>
        <w:ind w:firstLine="600"/>
        <w:divId w:val="261426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被告人张福柱，男，</w:t>
      </w:r>
      <w:r>
        <w:rPr>
          <w:rFonts w:hint="eastAsia"/>
          <w:sz w:val="30"/>
          <w:szCs w:val="30"/>
        </w:rPr>
        <w:t>1968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日出生，汉族，初中文化，佳彩公司法定代表人，又名张盈福（户籍地广东省清远市清新区），住香港特别行政区。因本案于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日被抓获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同日被刑事拘留，同年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日被逮捕。现羁押于深圳市南山区看守所。</w:t>
      </w:r>
    </w:p>
    <w:p w14:paraId="69F2FCA9" w14:textId="77777777" w:rsidR="00540287" w:rsidRDefault="00540287">
      <w:pPr>
        <w:spacing w:line="500" w:lineRule="atLeast"/>
        <w:ind w:firstLine="600"/>
        <w:divId w:val="20083617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辩护人钱佩麟、洪明明，广东宝威律师事务所律师。</w:t>
      </w:r>
    </w:p>
    <w:p w14:paraId="29D3DDA6" w14:textId="77777777" w:rsidR="00540287" w:rsidRDefault="00540287">
      <w:pPr>
        <w:spacing w:line="500" w:lineRule="atLeast"/>
        <w:ind w:firstLine="600"/>
        <w:divId w:val="16660142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深圳市南山区人民检察院以深南检刑诉〔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1710</w:t>
      </w:r>
      <w:r>
        <w:rPr>
          <w:rFonts w:hint="eastAsia"/>
          <w:sz w:val="30"/>
          <w:szCs w:val="30"/>
        </w:rPr>
        <w:t>号起诉书指控被告单位佳彩公司、被告人张福柱涉嫌犯单位行贿罪，于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向本院提起公诉。本院依法组成合议庭，公开开庭审理了本案。深圳市南山区人民检察院指派检察员李小敏出庭支持公诉。被告单位佳彩公司诉讼代表人陈晓雯、被告人张福柱及其辩护人钱佩麟到庭参加诉讼。现已审理终结。</w:t>
      </w:r>
    </w:p>
    <w:p w14:paraId="3FEB059E" w14:textId="77777777" w:rsidR="00540287" w:rsidRDefault="00540287">
      <w:pPr>
        <w:spacing w:line="500" w:lineRule="atLeast"/>
        <w:ind w:firstLine="600"/>
        <w:divId w:val="6692154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佳彩公司法定代表人、东莞市××科技有限公司（以下简称“××公司”）实际控制人为张福柱。在时任广东省东莞市××网络传媒发展股份公司（以下简称“东莞××公司”）副董事长、广东省××网络股份有限公司（以下简称“省××公司”）总会计师、副总经理杨某的帮助下，佳彩公司顺利中标东莞××公司数字机顶盒业</w:t>
      </w:r>
      <w:r>
        <w:rPr>
          <w:rFonts w:hint="eastAsia"/>
          <w:sz w:val="30"/>
          <w:szCs w:val="30"/>
        </w:rPr>
        <w:lastRenderedPageBreak/>
        <w:t>务，并经杨某介绍，××公司顺利向广东××产业投资有限公司设立的××基金投资人民币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亿元。杨某还介绍张福柱认识了省××公司的高层领导，并帮助佳彩公司发展业务。期间，张福柱先后送给杨某现金共计港币</w:t>
      </w:r>
      <w:r>
        <w:rPr>
          <w:rFonts w:hint="eastAsia"/>
          <w:sz w:val="30"/>
          <w:szCs w:val="30"/>
        </w:rPr>
        <w:t>118</w:t>
      </w:r>
      <w:r>
        <w:rPr>
          <w:rFonts w:hint="eastAsia"/>
          <w:sz w:val="30"/>
          <w:szCs w:val="30"/>
        </w:rPr>
        <w:t>万元。具体如下：</w:t>
      </w:r>
    </w:p>
    <w:p w14:paraId="36434FD9" w14:textId="77777777" w:rsidR="00540287" w:rsidRDefault="00540287">
      <w:pPr>
        <w:spacing w:line="500" w:lineRule="atLeast"/>
        <w:ind w:firstLine="600"/>
        <w:divId w:val="16996220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年，被告人张福柱在每年春节、中秋节前送给杨某现金，其中每个春节前送港币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万元，每个中秋节前送港币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万元，合计港币</w:t>
      </w:r>
      <w:r>
        <w:rPr>
          <w:rFonts w:hint="eastAsia"/>
          <w:sz w:val="30"/>
          <w:szCs w:val="30"/>
        </w:rPr>
        <w:t>48</w:t>
      </w:r>
      <w:r>
        <w:rPr>
          <w:rFonts w:hint="eastAsia"/>
          <w:sz w:val="30"/>
          <w:szCs w:val="30"/>
        </w:rPr>
        <w:t>万元。</w:t>
      </w:r>
    </w:p>
    <w:p w14:paraId="4F5AFC51" w14:textId="77777777" w:rsidR="00540287" w:rsidRDefault="00540287">
      <w:pPr>
        <w:spacing w:line="500" w:lineRule="atLeast"/>
        <w:ind w:firstLine="600"/>
        <w:divId w:val="8272141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2.2008</w:t>
      </w:r>
      <w:r>
        <w:rPr>
          <w:rFonts w:hint="eastAsia"/>
          <w:sz w:val="30"/>
          <w:szCs w:val="30"/>
        </w:rPr>
        <w:t>年、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年，被告人张福柱在东莞××公司北京、海南庆功会上，每次送给杨某现金港币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万元，合计港币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万元。</w:t>
      </w:r>
    </w:p>
    <w:p w14:paraId="708E8A03" w14:textId="77777777" w:rsidR="00540287" w:rsidRDefault="00540287">
      <w:pPr>
        <w:spacing w:line="500" w:lineRule="atLeast"/>
        <w:ind w:firstLine="600"/>
        <w:divId w:val="19791400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年，被告人张福柱在杨某三次到达香港或过境香港期间，每次送给杨某现金港币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万元，合计港币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万元。</w:t>
      </w:r>
    </w:p>
    <w:p w14:paraId="27518615" w14:textId="77777777" w:rsidR="00540287" w:rsidRDefault="00540287">
      <w:pPr>
        <w:spacing w:line="500" w:lineRule="atLeast"/>
        <w:ind w:firstLine="600"/>
        <w:divId w:val="1834023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单位佳彩公司、被告人张福柱在庭审过程中亦无异议，并有被告人身份证明材料、到案经过、杨某任职材料、佳彩公司工商登记资料、佳彩公司与东莞××公司、广东××公司业务往来资料等书证，证人杨某等证言，被告人张福柱的供述与辩解等证据证实，足以认定。</w:t>
      </w:r>
    </w:p>
    <w:p w14:paraId="7D91AA2B" w14:textId="77777777" w:rsidR="00540287" w:rsidRDefault="00540287">
      <w:pPr>
        <w:spacing w:line="500" w:lineRule="atLeast"/>
        <w:ind w:firstLine="600"/>
        <w:divId w:val="17143856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单位佳彩公司为谋取不正当利益而行贿，情节严重，其行为触犯了《中华人民共和国刑法》第三百九十三条，应当以单位行贿罪追究刑事责任。被告人张福柱系佳彩公司的直接责任人，应当以单位行贿罪追究刑事责任。建议对被告单位佳彩公司单处罚金，对被告人张福柱判处七个月左右有期徒刑，并处罚金。诉请本院依法判处。</w:t>
      </w:r>
    </w:p>
    <w:p w14:paraId="583A2BF4" w14:textId="77777777" w:rsidR="00540287" w:rsidRDefault="00540287">
      <w:pPr>
        <w:spacing w:line="500" w:lineRule="atLeast"/>
        <w:ind w:firstLine="600"/>
        <w:divId w:val="19514002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被告人张福柱的辩护人发表辩护意见称：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张福柱认罪认罚，如实供述犯罪事实。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张福柱是初犯，无前科，多次表达悔意，已深刻认识错误。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张福柱是一名优秀的企业家和爱心人士，希望能够从轻从宽处罚。</w:t>
      </w:r>
    </w:p>
    <w:p w14:paraId="4AB5250E" w14:textId="77777777" w:rsidR="00540287" w:rsidRDefault="00540287">
      <w:pPr>
        <w:spacing w:line="500" w:lineRule="atLeast"/>
        <w:ind w:firstLine="600"/>
        <w:divId w:val="1691644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佳彩公司为谋取不正当利益，给予国家工作人员财物，其行为已构成单位行贿罪。被告人张福柱作为被告单位直接负责的主管人员，应当以单位行贿罪追究刑事责任。公诉机关指控的罪名成立。被告单位及被告人张福柱均认罪认罚，且系初犯，予以从轻处罚。辩护人的相关辩护意见予以采纳。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年修订的《中华人民共和国刑法》第三百九十三条、《中华人民共和国刑法》第三十条、第三十一条、第六十七条第三款之规定，判决如下：</w:t>
      </w:r>
    </w:p>
    <w:p w14:paraId="225B55C4" w14:textId="77777777" w:rsidR="00540287" w:rsidRDefault="00540287">
      <w:pPr>
        <w:spacing w:line="500" w:lineRule="atLeast"/>
        <w:ind w:firstLine="600"/>
        <w:divId w:val="19555960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一、被告单位广东佳彩数码科技有限公司犯单位行贿罪，判处罚金人民币十五万元。</w:t>
      </w:r>
    </w:p>
    <w:p w14:paraId="24F60537" w14:textId="77777777" w:rsidR="00540287" w:rsidRDefault="00540287">
      <w:pPr>
        <w:spacing w:line="500" w:lineRule="atLeast"/>
        <w:ind w:firstLine="600"/>
        <w:divId w:val="1470392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（罚金限于本判决生效之日起十日内向本院缴纳，上缴国库。）</w:t>
      </w:r>
    </w:p>
    <w:p w14:paraId="0D32CDA0" w14:textId="77777777" w:rsidR="00540287" w:rsidRDefault="00540287">
      <w:pPr>
        <w:spacing w:line="500" w:lineRule="atLeast"/>
        <w:ind w:firstLine="600"/>
        <w:divId w:val="1692224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二、被告人张福柱犯单位行贿罪，判处有期徒刑六个月。</w:t>
      </w:r>
    </w:p>
    <w:p w14:paraId="710720E7" w14:textId="77777777" w:rsidR="00540287" w:rsidRDefault="00540287">
      <w:pPr>
        <w:spacing w:line="500" w:lineRule="atLeast"/>
        <w:ind w:firstLine="600"/>
        <w:divId w:val="16544852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（刑期从判决执行之日起计算，判决执行以前先行羁押的，羁押一日折抵刑期一日，即自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日止。）</w:t>
      </w:r>
    </w:p>
    <w:p w14:paraId="39863D72" w14:textId="77777777" w:rsidR="00540287" w:rsidRDefault="00540287">
      <w:pPr>
        <w:spacing w:line="500" w:lineRule="atLeast"/>
        <w:ind w:firstLine="600"/>
        <w:divId w:val="14005207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如不服本判决，可在接到判决书的第二日起十日内，通过本院或者直接向广东省深圳市中级人民法院提出上诉。书面上诉的，应交上诉状正本一份，副本二份。</w:t>
      </w:r>
    </w:p>
    <w:p w14:paraId="6DF01E3F" w14:textId="77777777" w:rsidR="00540287" w:rsidRDefault="00540287">
      <w:pPr>
        <w:spacing w:line="500" w:lineRule="atLeast"/>
        <w:jc w:val="right"/>
        <w:divId w:val="175583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吴君炜</w:t>
      </w:r>
    </w:p>
    <w:p w14:paraId="2FC53CF1" w14:textId="77777777" w:rsidR="00540287" w:rsidRDefault="00540287">
      <w:pPr>
        <w:spacing w:line="500" w:lineRule="atLeast"/>
        <w:jc w:val="right"/>
        <w:divId w:val="1818064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张利娥</w:t>
      </w:r>
    </w:p>
    <w:p w14:paraId="3CBFAC50" w14:textId="77777777" w:rsidR="00540287" w:rsidRDefault="00540287">
      <w:pPr>
        <w:spacing w:line="500" w:lineRule="atLeast"/>
        <w:jc w:val="right"/>
        <w:divId w:val="280235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郑玉璇</w:t>
      </w:r>
    </w:p>
    <w:p w14:paraId="20424CD6" w14:textId="77777777" w:rsidR="00540287" w:rsidRDefault="00540287">
      <w:pPr>
        <w:spacing w:line="500" w:lineRule="atLeast"/>
        <w:jc w:val="right"/>
        <w:divId w:val="9896007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二〇一九年十二月十七日</w:t>
      </w:r>
    </w:p>
    <w:p w14:paraId="2A8A6411" w14:textId="77777777" w:rsidR="00540287" w:rsidRDefault="00540287">
      <w:pPr>
        <w:spacing w:line="500" w:lineRule="atLeast"/>
        <w:jc w:val="right"/>
        <w:divId w:val="8641034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刘国庆</w:t>
      </w:r>
    </w:p>
    <w:p w14:paraId="1A2DAE1B" w14:textId="77777777" w:rsidR="00540287" w:rsidRDefault="00540287">
      <w:pPr>
        <w:spacing w:line="500" w:lineRule="atLeast"/>
        <w:ind w:firstLine="600"/>
        <w:divId w:val="519051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657CF1B0" w14:textId="77777777" w:rsidR="00540287" w:rsidRDefault="00540287">
      <w:pPr>
        <w:spacing w:line="500" w:lineRule="atLeast"/>
        <w:ind w:firstLine="600"/>
        <w:divId w:val="3748146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《中华人民共和国刑法》（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修订）</w:t>
      </w:r>
    </w:p>
    <w:p w14:paraId="0550C967" w14:textId="77777777" w:rsidR="00540287" w:rsidRDefault="00540287">
      <w:pPr>
        <w:spacing w:line="500" w:lineRule="atLeast"/>
        <w:ind w:firstLine="600"/>
        <w:divId w:val="20461002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三条【单位行贿罪】单位为谋取不正当利益而行贿，或者违反国家规定，给予国家工作人员以回扣、手续费，情节严重的，对单位判处罚金，并对其直接负责的主管人员和其他直接责任人员，处五年以下有期徒刑或者拘役。因行贿取得的违法所得归个人所有的，依照本法第三百八十九条、第三百九十条的规定定罪处罚。</w:t>
      </w:r>
    </w:p>
    <w:p w14:paraId="074B2D71" w14:textId="77777777" w:rsidR="00540287" w:rsidRDefault="00540287">
      <w:pPr>
        <w:spacing w:line="500" w:lineRule="atLeast"/>
        <w:ind w:firstLine="600"/>
        <w:divId w:val="10414408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6A1B044A" w14:textId="77777777" w:rsidR="00540287" w:rsidRDefault="00540287">
      <w:pPr>
        <w:spacing w:line="500" w:lineRule="atLeast"/>
        <w:ind w:firstLine="600"/>
        <w:divId w:val="780034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第三十条【单位负刑事责任的范围】公司、企业、事业单位、机关、团体实施的危害社会的行为，法律规定为单位犯罪的，应当负刑事责任。</w:t>
      </w:r>
    </w:p>
    <w:p w14:paraId="29808C96" w14:textId="77777777" w:rsidR="00540287" w:rsidRDefault="00540287">
      <w:pPr>
        <w:spacing w:line="500" w:lineRule="atLeast"/>
        <w:ind w:firstLine="600"/>
        <w:divId w:val="4400293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第三十一条【单位犯罪的处罚原则】单位犯罪的，对单位判处罚金，并对其直接负责的主管人员和其他直接责任人员判处刑罚。本法分则和其他法律另有规定的，依照规定。</w:t>
      </w:r>
    </w:p>
    <w:p w14:paraId="439E1A14" w14:textId="77777777" w:rsidR="00540287" w:rsidRDefault="00540287">
      <w:pPr>
        <w:spacing w:line="500" w:lineRule="atLeast"/>
        <w:ind w:firstLine="600"/>
        <w:divId w:val="3978721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第六十七条【自首】犯罪以后自动投案，如实供述自己的罪行的，是自首。对于自首的犯罪分子，可以从轻或者减轻处罚。其中，犯罪较轻的，可以免除处罚。</w:t>
      </w:r>
    </w:p>
    <w:p w14:paraId="235B44F6" w14:textId="77777777" w:rsidR="00540287" w:rsidRDefault="00540287">
      <w:pPr>
        <w:spacing w:line="500" w:lineRule="atLeast"/>
        <w:ind w:firstLine="600"/>
        <w:divId w:val="818425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7F716715" w14:textId="77777777" w:rsidR="00540287" w:rsidRDefault="00540287">
      <w:pPr>
        <w:spacing w:line="500" w:lineRule="atLeast"/>
        <w:ind w:firstLine="600"/>
        <w:divId w:val="17276813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2F314" w14:textId="77777777" w:rsidR="00A04779" w:rsidRDefault="00A04779" w:rsidP="00A04779">
      <w:pPr>
        <w:rPr>
          <w:rFonts w:hint="eastAsia"/>
        </w:rPr>
      </w:pPr>
      <w:r>
        <w:separator/>
      </w:r>
    </w:p>
  </w:endnote>
  <w:endnote w:type="continuationSeparator" w:id="0">
    <w:p w14:paraId="43A4D8A4" w14:textId="77777777" w:rsidR="00A04779" w:rsidRDefault="00A04779" w:rsidP="00A047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21A93" w14:textId="77777777" w:rsidR="00A04779" w:rsidRDefault="00A04779" w:rsidP="00A04779">
      <w:pPr>
        <w:rPr>
          <w:rFonts w:hint="eastAsia"/>
        </w:rPr>
      </w:pPr>
      <w:r>
        <w:separator/>
      </w:r>
    </w:p>
  </w:footnote>
  <w:footnote w:type="continuationSeparator" w:id="0">
    <w:p w14:paraId="48E74CB6" w14:textId="77777777" w:rsidR="00A04779" w:rsidRDefault="00A04779" w:rsidP="00A047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79"/>
    <w:rsid w:val="00540287"/>
    <w:rsid w:val="00A0477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89FB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047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477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47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477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832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3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6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3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6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46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1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3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37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18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4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4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2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34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0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7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8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9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07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2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2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6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0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6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1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02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0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00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7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02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2025-04-30T04:56:00Z</dcterms:created>
  <dcterms:modified xsi:type="dcterms:W3CDTF">2025-04-30T04:56:00Z</dcterms:modified>
</cp:coreProperties>
</file>