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FF005" w14:textId="77777777" w:rsidR="009F2914" w:rsidRDefault="009F2914">
      <w:pPr>
        <w:spacing w:line="500" w:lineRule="atLeast"/>
        <w:jc w:val="center"/>
        <w:divId w:val="582615103"/>
        <w:rPr>
          <w:rFonts w:ascii="黑体" w:eastAsia="黑体" w:hAnsi="黑体"/>
          <w:sz w:val="36"/>
          <w:szCs w:val="36"/>
        </w:rPr>
      </w:pPr>
      <w:r>
        <w:rPr>
          <w:rFonts w:ascii="黑体" w:eastAsia="黑体" w:hAnsi="黑体" w:hint="eastAsia"/>
          <w:sz w:val="36"/>
          <w:szCs w:val="36"/>
        </w:rPr>
        <w:t>广东省广州市中级人民法院</w:t>
      </w:r>
    </w:p>
    <w:p w14:paraId="1357DAAB" w14:textId="77777777" w:rsidR="009F2914" w:rsidRDefault="009F2914">
      <w:pPr>
        <w:spacing w:line="500" w:lineRule="atLeast"/>
        <w:jc w:val="center"/>
        <w:divId w:val="386316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6C8659" w14:textId="77777777" w:rsidR="009F2914" w:rsidRDefault="009F2914">
      <w:pPr>
        <w:spacing w:line="500" w:lineRule="atLeast"/>
        <w:jc w:val="right"/>
        <w:divId w:val="129737284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刑终</w:t>
      </w:r>
      <w:r>
        <w:rPr>
          <w:rFonts w:hint="eastAsia"/>
          <w:sz w:val="30"/>
          <w:szCs w:val="30"/>
        </w:rPr>
        <w:t>58</w:t>
      </w:r>
      <w:r>
        <w:rPr>
          <w:rFonts w:hint="eastAsia"/>
          <w:sz w:val="30"/>
          <w:szCs w:val="30"/>
        </w:rPr>
        <w:t>号</w:t>
      </w:r>
    </w:p>
    <w:p w14:paraId="5A6ACEF6" w14:textId="77777777" w:rsidR="009F2914" w:rsidRDefault="009F2914">
      <w:pPr>
        <w:spacing w:line="500" w:lineRule="atLeast"/>
        <w:ind w:firstLine="600"/>
        <w:divId w:val="690687271"/>
        <w:rPr>
          <w:rFonts w:hint="eastAsia"/>
          <w:sz w:val="30"/>
          <w:szCs w:val="30"/>
        </w:rPr>
      </w:pPr>
      <w:r>
        <w:rPr>
          <w:rFonts w:hint="eastAsia"/>
          <w:sz w:val="30"/>
          <w:szCs w:val="30"/>
        </w:rPr>
        <w:t>原公诉机关广州市天河区人民检察院</w:t>
      </w:r>
    </w:p>
    <w:p w14:paraId="4E9289E9" w14:textId="77777777" w:rsidR="009F2914" w:rsidRDefault="009F2914">
      <w:pPr>
        <w:spacing w:line="500" w:lineRule="atLeast"/>
        <w:ind w:firstLine="600"/>
        <w:divId w:val="386030911"/>
        <w:rPr>
          <w:rFonts w:hint="eastAsia"/>
          <w:sz w:val="30"/>
          <w:szCs w:val="30"/>
        </w:rPr>
      </w:pPr>
      <w:r>
        <w:rPr>
          <w:rFonts w:hint="eastAsia"/>
          <w:sz w:val="30"/>
          <w:szCs w:val="30"/>
        </w:rPr>
        <w:t>上诉人（原审被告人）张可可，出生地山东省金乡县，户籍住址北京市，原中国进出口银行广东省分行公司业务二处处长。因本案于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日被羁押，次日被刑事拘留，同月</w:t>
      </w:r>
      <w:r>
        <w:rPr>
          <w:rFonts w:hint="eastAsia"/>
          <w:sz w:val="30"/>
          <w:szCs w:val="30"/>
        </w:rPr>
        <w:t>23</w:t>
      </w:r>
      <w:r>
        <w:rPr>
          <w:rFonts w:hint="eastAsia"/>
          <w:sz w:val="30"/>
          <w:szCs w:val="30"/>
        </w:rPr>
        <w:t>日被逮捕。现羁押于广州市国家安全局看守所。</w:t>
      </w:r>
    </w:p>
    <w:p w14:paraId="66C1819D" w14:textId="77777777" w:rsidR="009F2914" w:rsidRDefault="009F2914">
      <w:pPr>
        <w:spacing w:line="500" w:lineRule="atLeast"/>
        <w:ind w:firstLine="600"/>
        <w:divId w:val="1876459185"/>
        <w:rPr>
          <w:rFonts w:hint="eastAsia"/>
          <w:sz w:val="30"/>
          <w:szCs w:val="30"/>
        </w:rPr>
      </w:pPr>
      <w:r>
        <w:rPr>
          <w:rFonts w:hint="eastAsia"/>
          <w:sz w:val="30"/>
          <w:szCs w:val="30"/>
        </w:rPr>
        <w:t>辩护人宗科涛、宋立妍，北京市浩天信和律师事务所律师。</w:t>
      </w:r>
    </w:p>
    <w:p w14:paraId="2896594D" w14:textId="77777777" w:rsidR="009F2914" w:rsidRDefault="009F2914">
      <w:pPr>
        <w:spacing w:line="500" w:lineRule="atLeast"/>
        <w:ind w:firstLine="600"/>
        <w:divId w:val="2103800080"/>
        <w:rPr>
          <w:rFonts w:hint="eastAsia"/>
          <w:sz w:val="30"/>
          <w:szCs w:val="30"/>
        </w:rPr>
      </w:pPr>
      <w:r>
        <w:rPr>
          <w:rFonts w:hint="eastAsia"/>
          <w:sz w:val="30"/>
          <w:szCs w:val="30"/>
        </w:rPr>
        <w:t>原审被告人梁某甲，男，</w:t>
      </w:r>
      <w:r>
        <w:rPr>
          <w:rFonts w:hint="eastAsia"/>
          <w:sz w:val="30"/>
          <w:szCs w:val="30"/>
        </w:rPr>
        <w:t>1968</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日出生，汉族，出生地广西壮族自治区武宣县，文化程度中专，户籍住址广西壮族自治区南宁市青秀区金湖路</w:t>
      </w:r>
      <w:r>
        <w:rPr>
          <w:rFonts w:hint="eastAsia"/>
          <w:sz w:val="30"/>
          <w:szCs w:val="30"/>
        </w:rPr>
        <w:t>58</w:t>
      </w:r>
      <w:r>
        <w:rPr>
          <w:rFonts w:hint="eastAsia"/>
          <w:sz w:val="30"/>
          <w:szCs w:val="30"/>
        </w:rPr>
        <w:t>号</w:t>
      </w:r>
      <w:r>
        <w:rPr>
          <w:rFonts w:hint="eastAsia"/>
          <w:sz w:val="30"/>
          <w:szCs w:val="30"/>
        </w:rPr>
        <w:t>A</w:t>
      </w:r>
      <w:r>
        <w:rPr>
          <w:rFonts w:hint="eastAsia"/>
          <w:sz w:val="30"/>
          <w:szCs w:val="30"/>
        </w:rPr>
        <w:t>栋</w:t>
      </w:r>
      <w:r>
        <w:rPr>
          <w:rFonts w:hint="eastAsia"/>
          <w:sz w:val="30"/>
          <w:szCs w:val="30"/>
        </w:rPr>
        <w:t>2506</w:t>
      </w:r>
      <w:r>
        <w:rPr>
          <w:rFonts w:hint="eastAsia"/>
          <w:sz w:val="30"/>
          <w:szCs w:val="30"/>
        </w:rPr>
        <w:t>号房。因本案于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日被羁押，同月</w:t>
      </w:r>
      <w:r>
        <w:rPr>
          <w:rFonts w:hint="eastAsia"/>
          <w:sz w:val="30"/>
          <w:szCs w:val="30"/>
        </w:rPr>
        <w:t>28</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日被广州市人民检察院取保候审，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日被广州市天河区人民法院取保候审，</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日被广州市天河区人民法院监视居住（不指定居所）。</w:t>
      </w:r>
    </w:p>
    <w:p w14:paraId="2AEC9CB7" w14:textId="77777777" w:rsidR="009F2914" w:rsidRDefault="009F2914">
      <w:pPr>
        <w:spacing w:line="500" w:lineRule="atLeast"/>
        <w:ind w:firstLine="600"/>
        <w:divId w:val="218327118"/>
        <w:rPr>
          <w:rFonts w:hint="eastAsia"/>
          <w:sz w:val="30"/>
          <w:szCs w:val="30"/>
        </w:rPr>
      </w:pPr>
      <w:r>
        <w:rPr>
          <w:rFonts w:hint="eastAsia"/>
          <w:sz w:val="30"/>
          <w:szCs w:val="30"/>
        </w:rPr>
        <w:t>广州市天河区人民法院审理广州市天河区人民检察院指控原审被告人张可可犯受贿罪一案，于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日作出（</w:t>
      </w:r>
      <w:r>
        <w:rPr>
          <w:rFonts w:hint="eastAsia"/>
          <w:sz w:val="30"/>
          <w:szCs w:val="30"/>
        </w:rPr>
        <w:t>2014</w:t>
      </w:r>
      <w:r>
        <w:rPr>
          <w:rFonts w:hint="eastAsia"/>
          <w:sz w:val="30"/>
          <w:szCs w:val="30"/>
        </w:rPr>
        <w:t>）穗天法刑初字第</w:t>
      </w:r>
      <w:r>
        <w:rPr>
          <w:rFonts w:hint="eastAsia"/>
          <w:sz w:val="30"/>
          <w:szCs w:val="30"/>
        </w:rPr>
        <w:t>2410</w:t>
      </w:r>
      <w:r>
        <w:rPr>
          <w:rFonts w:hint="eastAsia"/>
          <w:sz w:val="30"/>
          <w:szCs w:val="30"/>
        </w:rPr>
        <w:t>号刑事判决。原审被告人张可可不服，提出上诉。本院依法组成合议庭，通过阅卷，审核证据，讯问上诉人张可可，听取辩护人意见，认为事实清楚，决定不开庭审理。现已审理终结。</w:t>
      </w:r>
    </w:p>
    <w:p w14:paraId="5244E5BB" w14:textId="77777777" w:rsidR="009F2914" w:rsidRDefault="009F2914">
      <w:pPr>
        <w:spacing w:line="500" w:lineRule="atLeast"/>
        <w:ind w:firstLine="600"/>
        <w:divId w:val="253176532"/>
        <w:rPr>
          <w:rFonts w:hint="eastAsia"/>
          <w:sz w:val="30"/>
          <w:szCs w:val="30"/>
        </w:rPr>
      </w:pPr>
      <w:r>
        <w:rPr>
          <w:rFonts w:hint="eastAsia"/>
          <w:sz w:val="30"/>
          <w:szCs w:val="30"/>
        </w:rPr>
        <w:t>原审判决认定：</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月间，被告人张可可在担任中国进出口银行广东省分行（全民所有制企业）公司业务二处处长期间，利用负责广西地区的信贷市场开拓，办理相关信贷业务（包括发放贷款及本息回收，贷后管理，催收</w:t>
      </w:r>
      <w:r>
        <w:rPr>
          <w:rFonts w:hint="eastAsia"/>
          <w:sz w:val="30"/>
          <w:szCs w:val="30"/>
        </w:rPr>
        <w:lastRenderedPageBreak/>
        <w:t>与索赔，转贷项目的代后管理等）的职务便利，在办理广西大锰锰业有限公司（以下简称广西大锰公司）、广西明某生化科技股份有限公司（又称广西农垦明某生化集团股份有限公司，以下简称广西明某公司）的贷款业务过程中为该两家单位提供帮助，为其谋取利益。期间，被告人张可可指使被告人梁某甲以广西南宁市正平投资咨询有限责任公司（以下简称广西正平公司）的名义与上述两家贷款单位签订虚假《投融资财务顾问服务协议》，分别收受两家贷款单位的行贿款项人民币</w:t>
      </w:r>
      <w:r>
        <w:rPr>
          <w:rFonts w:hint="eastAsia"/>
          <w:sz w:val="30"/>
          <w:szCs w:val="30"/>
        </w:rPr>
        <w:t>100</w:t>
      </w:r>
      <w:r>
        <w:rPr>
          <w:rFonts w:hint="eastAsia"/>
          <w:sz w:val="30"/>
          <w:szCs w:val="30"/>
        </w:rPr>
        <w:t>万元、</w:t>
      </w:r>
      <w:r>
        <w:rPr>
          <w:rFonts w:hint="eastAsia"/>
          <w:sz w:val="30"/>
          <w:szCs w:val="30"/>
        </w:rPr>
        <w:t>78</w:t>
      </w:r>
      <w:r>
        <w:rPr>
          <w:rFonts w:hint="eastAsia"/>
          <w:sz w:val="30"/>
          <w:szCs w:val="30"/>
        </w:rPr>
        <w:t>万元。期间，被告人梁某甲将其中的人民币</w:t>
      </w:r>
      <w:r>
        <w:rPr>
          <w:rFonts w:hint="eastAsia"/>
          <w:sz w:val="30"/>
          <w:szCs w:val="30"/>
        </w:rPr>
        <w:t>112</w:t>
      </w:r>
      <w:r>
        <w:rPr>
          <w:rFonts w:hint="eastAsia"/>
          <w:sz w:val="30"/>
          <w:szCs w:val="30"/>
        </w:rPr>
        <w:t>万元通过转账的方式转入被告人张可可指定或实际控制的银行账户，将人民币</w:t>
      </w:r>
      <w:r>
        <w:rPr>
          <w:rFonts w:hint="eastAsia"/>
          <w:sz w:val="30"/>
          <w:szCs w:val="30"/>
        </w:rPr>
        <w:t>84750</w:t>
      </w:r>
      <w:r>
        <w:rPr>
          <w:rFonts w:hint="eastAsia"/>
          <w:sz w:val="30"/>
          <w:szCs w:val="30"/>
        </w:rPr>
        <w:t>元用于缴纳税款，其余款项则由被告人梁某甲留存。</w:t>
      </w:r>
    </w:p>
    <w:p w14:paraId="382E1B30" w14:textId="77777777" w:rsidR="009F2914" w:rsidRDefault="009F2914">
      <w:pPr>
        <w:spacing w:line="500" w:lineRule="atLeast"/>
        <w:ind w:firstLine="600"/>
        <w:divId w:val="522675114"/>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月间，被告人张可可通过其实际控制的银行账户转账人民币</w:t>
      </w:r>
      <w:r>
        <w:rPr>
          <w:rFonts w:hint="eastAsia"/>
          <w:sz w:val="30"/>
          <w:szCs w:val="30"/>
        </w:rPr>
        <w:t>80</w:t>
      </w:r>
      <w:r>
        <w:rPr>
          <w:rFonts w:hint="eastAsia"/>
          <w:sz w:val="30"/>
          <w:szCs w:val="30"/>
        </w:rPr>
        <w:t>万元给被告人梁某甲，梁某甲再以广西正平公司的名义分别向广西大锰公司、广西明某公司转账人民币</w:t>
      </w:r>
      <w:r>
        <w:rPr>
          <w:rFonts w:hint="eastAsia"/>
          <w:sz w:val="30"/>
          <w:szCs w:val="30"/>
        </w:rPr>
        <w:t>100</w:t>
      </w:r>
      <w:r>
        <w:rPr>
          <w:rFonts w:hint="eastAsia"/>
          <w:sz w:val="30"/>
          <w:szCs w:val="30"/>
        </w:rPr>
        <w:t>万元、</w:t>
      </w:r>
      <w:r>
        <w:rPr>
          <w:rFonts w:hint="eastAsia"/>
          <w:sz w:val="30"/>
          <w:szCs w:val="30"/>
        </w:rPr>
        <w:t>68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日，侦查机关在本市天河区将被告人张可可抓获归案；同年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日，被告人梁某甲被抓获归案。另查明，在本案审理期间，被告人张可可的家属代其退出违法所得人民币</w:t>
      </w:r>
      <w:r>
        <w:rPr>
          <w:rFonts w:hint="eastAsia"/>
          <w:sz w:val="30"/>
          <w:szCs w:val="30"/>
        </w:rPr>
        <w:t>10</w:t>
      </w:r>
      <w:r>
        <w:rPr>
          <w:rFonts w:hint="eastAsia"/>
          <w:sz w:val="30"/>
          <w:szCs w:val="30"/>
        </w:rPr>
        <w:t>万元，该款现存于本院。</w:t>
      </w:r>
    </w:p>
    <w:p w14:paraId="5BD5DBA0" w14:textId="77777777" w:rsidR="009F2914" w:rsidRDefault="009F2914">
      <w:pPr>
        <w:spacing w:line="500" w:lineRule="atLeast"/>
        <w:ind w:firstLine="600"/>
        <w:divId w:val="542835429"/>
        <w:rPr>
          <w:rFonts w:hint="eastAsia"/>
          <w:sz w:val="30"/>
          <w:szCs w:val="30"/>
        </w:rPr>
      </w:pPr>
      <w:r>
        <w:rPr>
          <w:rFonts w:hint="eastAsia"/>
          <w:sz w:val="30"/>
          <w:szCs w:val="30"/>
        </w:rPr>
        <w:t>原判认定上述事实，有证人冯某的证言、韦某、李某、梁某丙、何某、赵某、薛某、谢某、庞某、杜某含的证言，中国进出口银行广东省分行工商登记资料，《中国进出口银行咨询顾问业务管理办法（试行，</w:t>
      </w:r>
      <w:r>
        <w:rPr>
          <w:rFonts w:hint="eastAsia"/>
          <w:sz w:val="30"/>
          <w:szCs w:val="30"/>
        </w:rPr>
        <w:t>2010</w:t>
      </w:r>
      <w:r>
        <w:rPr>
          <w:rFonts w:hint="eastAsia"/>
          <w:sz w:val="30"/>
          <w:szCs w:val="30"/>
        </w:rPr>
        <w:t>年修订）》、《公司业务二处岗位职责》、《中国进出口银行广东省分行公司业务二处行政经费报销规定（试行）》、《关于说明我行有关情况的函》，被告人张可可的任职材料，涉案公司营业执照、注册登记资料，广西明某公司的《进口信贷流动资金贷款借款合同》，广西正平公司的《业务咨询合同》、《合同审批表》、《投融资财务顾问服务协议》、电子转账凭证、税收转帐专用完税证和发票，广西大锰公司《关于给予退款的函》、工行银行同城通存通兑他代本回单，进账单、银行交易流水及记账明细，中国进出口银行广东省分行的《装饰装修工程施工合同》、付款凭证、银行电汇凭证、货物销售统一发票、办公器材明细表等，审计署驻深圳特派员办事处出具的《进出口银行张可可案件相关情况说明》、银行交易记录，广州市人民检察院的破案报告、立案决定书、关于张可可的归案说明、临时羁押证明书等，被告人张可可、梁某甲户籍材料，被告人张可可在侦查、庭审阶段的供述，被告人梁某甲的供述等证据证实。</w:t>
      </w:r>
    </w:p>
    <w:p w14:paraId="36576523" w14:textId="77777777" w:rsidR="009F2914" w:rsidRDefault="009F2914">
      <w:pPr>
        <w:spacing w:line="500" w:lineRule="atLeast"/>
        <w:ind w:firstLine="600"/>
        <w:divId w:val="221715762"/>
        <w:rPr>
          <w:rFonts w:hint="eastAsia"/>
          <w:sz w:val="30"/>
          <w:szCs w:val="30"/>
        </w:rPr>
      </w:pPr>
      <w:r>
        <w:rPr>
          <w:rFonts w:hint="eastAsia"/>
          <w:sz w:val="30"/>
          <w:szCs w:val="30"/>
        </w:rPr>
        <w:t>原审法院认为：被告人张可可、梁某甲利用张可可作为国家工作人员职务上的便利，结伙非法收受他人财物数额巨大，为他人谋取利益，其行为均已构成受贿罪。在共同犯罪中，被告人张可可起主要作用，是主犯，应当按照其所参与、组织、指挥的全部犯罪处罚；被告人梁某甲受指使参与犯罪，在共同犯罪中起次要、辅助作用，是从犯，应当减轻处罚。被告人梁某甲归案后如实供述犯罪事实，自愿认罪，可从轻处罚；被告人张可可庭审时承认指控的主要犯罪事实，自愿认罪，亦可对其酌情从轻处罚。被告人张可可、梁某甲已共同退出本案违法所得，可酌情从轻处罚。根据本案的事实、性质、情节、社会危害性及被告人的认罪态度等因素，对被告人梁某甲适用缓刑确实不致再危害社会，可对其宣告缓刑。本案的违法所得依法应当予以追缴，上缴国库。综上，依照《中华人民共和国刑法》第十二条、第三百八十五条、第三百八十六条、第三百八十三条第一款第（二）项、第二十五条、第二十六条、第二十七条、第六十七条第三款、第五十二条、第五十三条、第七十二条、第七十三条、第六十四条以及《最高人民法院、最高人民检察院关于办理贪污贿赂刑事案件适用法律若干问题的解释》第二条第一款、第十九条第一款的规定，判决：一、被告人张可</w:t>
      </w:r>
      <w:r>
        <w:rPr>
          <w:rFonts w:hint="eastAsia"/>
          <w:sz w:val="30"/>
          <w:szCs w:val="30"/>
        </w:rPr>
        <w:t>可犯受贿罪，判处有期徒刑五年三个月，并处罚金人民币三十万元。二、被告人梁某甲犯受贿罪，判处有期徒刑二年，缓刑三年，并处罚金人民币十万元。三、追缴本案的违法所得人民币一百七十八万元，上缴国库。</w:t>
      </w:r>
    </w:p>
    <w:p w14:paraId="51CFCBA7" w14:textId="77777777" w:rsidR="009F2914" w:rsidRDefault="009F2914">
      <w:pPr>
        <w:spacing w:line="500" w:lineRule="atLeast"/>
        <w:ind w:firstLine="600"/>
        <w:divId w:val="212084864"/>
        <w:rPr>
          <w:rFonts w:hint="eastAsia"/>
          <w:sz w:val="30"/>
          <w:szCs w:val="30"/>
        </w:rPr>
      </w:pPr>
      <w:r>
        <w:rPr>
          <w:rFonts w:hint="eastAsia"/>
          <w:sz w:val="30"/>
          <w:szCs w:val="30"/>
        </w:rPr>
        <w:t>上诉人张可可及其辩护人提出如下上诉、辩护意见：</w:t>
      </w:r>
      <w:r>
        <w:rPr>
          <w:rFonts w:hint="eastAsia"/>
          <w:sz w:val="30"/>
          <w:szCs w:val="30"/>
        </w:rPr>
        <w:t>1</w:t>
      </w:r>
      <w:r>
        <w:rPr>
          <w:rFonts w:hint="eastAsia"/>
          <w:sz w:val="30"/>
          <w:szCs w:val="30"/>
        </w:rPr>
        <w:t>、上诉人张可可已在立案追诉前积极、主动退出涉案赃款，没有造成国家财产的实际损失；</w:t>
      </w:r>
      <w:r>
        <w:rPr>
          <w:rFonts w:hint="eastAsia"/>
          <w:sz w:val="30"/>
          <w:szCs w:val="30"/>
        </w:rPr>
        <w:t>2</w:t>
      </w:r>
      <w:r>
        <w:rPr>
          <w:rFonts w:hint="eastAsia"/>
          <w:sz w:val="30"/>
          <w:szCs w:val="30"/>
        </w:rPr>
        <w:t>、上诉人张可可在原审庭审过程中当庭自愿认罪，如实供述案件事实，真诚认罪、悔罪，主观恶性小，且系初犯、偶犯。综上，认为原审法院量刑时没有充分考虑上述情节及情况，导致量刑畸重，请求二审法院对上诉人张可可从轻、减轻处罚。</w:t>
      </w:r>
    </w:p>
    <w:p w14:paraId="2BC49AA3" w14:textId="77777777" w:rsidR="009F2914" w:rsidRDefault="009F2914">
      <w:pPr>
        <w:spacing w:line="500" w:lineRule="atLeast"/>
        <w:ind w:firstLine="600"/>
        <w:divId w:val="1259870788"/>
        <w:rPr>
          <w:rFonts w:hint="eastAsia"/>
          <w:sz w:val="30"/>
          <w:szCs w:val="30"/>
        </w:rPr>
      </w:pPr>
      <w:r>
        <w:rPr>
          <w:rFonts w:hint="eastAsia"/>
          <w:sz w:val="30"/>
          <w:szCs w:val="30"/>
        </w:rPr>
        <w:t>经审理查明，原审判决认定上诉人张可可伙同原审被告人梁某甲共同受贿</w:t>
      </w:r>
      <w:r>
        <w:rPr>
          <w:rFonts w:hint="eastAsia"/>
          <w:sz w:val="30"/>
          <w:szCs w:val="30"/>
        </w:rPr>
        <w:t>178</w:t>
      </w:r>
      <w:r>
        <w:rPr>
          <w:rFonts w:hint="eastAsia"/>
          <w:sz w:val="30"/>
          <w:szCs w:val="30"/>
        </w:rPr>
        <w:t>万元的事实，有在原审庭审举、质证并经认证的上述证据证实，证据来源合法，确实、充分，本院予以确认。</w:t>
      </w:r>
    </w:p>
    <w:p w14:paraId="306D384E" w14:textId="77777777" w:rsidR="009F2914" w:rsidRDefault="009F2914">
      <w:pPr>
        <w:spacing w:line="500" w:lineRule="atLeast"/>
        <w:ind w:firstLine="600"/>
        <w:divId w:val="1096289647"/>
        <w:rPr>
          <w:rFonts w:hint="eastAsia"/>
          <w:sz w:val="30"/>
          <w:szCs w:val="30"/>
        </w:rPr>
      </w:pPr>
      <w:r>
        <w:rPr>
          <w:rFonts w:hint="eastAsia"/>
          <w:sz w:val="30"/>
          <w:szCs w:val="30"/>
        </w:rPr>
        <w:t>对于上诉人张可可及其辩护人提出的上诉、辩护意见，经查：首先，从退赃数额看，本案涉案赃款为人民币</w:t>
      </w:r>
      <w:r>
        <w:rPr>
          <w:rFonts w:hint="eastAsia"/>
          <w:sz w:val="30"/>
          <w:szCs w:val="30"/>
        </w:rPr>
        <w:t>178</w:t>
      </w:r>
      <w:r>
        <w:rPr>
          <w:rFonts w:hint="eastAsia"/>
          <w:sz w:val="30"/>
          <w:szCs w:val="30"/>
        </w:rPr>
        <w:t>万元，张可可作为共同犯罪的主犯，其获取的犯罪违法所得为人民币</w:t>
      </w:r>
      <w:r>
        <w:rPr>
          <w:rFonts w:hint="eastAsia"/>
          <w:sz w:val="30"/>
          <w:szCs w:val="30"/>
        </w:rPr>
        <w:t>112</w:t>
      </w:r>
      <w:r>
        <w:rPr>
          <w:rFonts w:hint="eastAsia"/>
          <w:sz w:val="30"/>
          <w:szCs w:val="30"/>
        </w:rPr>
        <w:t>万元，其余款项被同案人梁某甲留存控制，立案追诉前，张可可便与同案人共同退出涉案绝大部分赃款</w:t>
      </w:r>
      <w:r>
        <w:rPr>
          <w:rFonts w:hint="eastAsia"/>
          <w:sz w:val="30"/>
          <w:szCs w:val="30"/>
        </w:rPr>
        <w:t>168</w:t>
      </w:r>
      <w:r>
        <w:rPr>
          <w:rFonts w:hint="eastAsia"/>
          <w:sz w:val="30"/>
          <w:szCs w:val="30"/>
        </w:rPr>
        <w:t>万元，原审庭审过程中又通过家属退出余下赃款</w:t>
      </w:r>
      <w:r>
        <w:rPr>
          <w:rFonts w:hint="eastAsia"/>
          <w:sz w:val="30"/>
          <w:szCs w:val="30"/>
        </w:rPr>
        <w:t>10</w:t>
      </w:r>
      <w:r>
        <w:rPr>
          <w:rFonts w:hint="eastAsia"/>
          <w:sz w:val="30"/>
          <w:szCs w:val="30"/>
        </w:rPr>
        <w:t>万元，张可可及同案人的退赃行为弥补了国家财产的实际损失，社会危害性较小；其次，从退赃的主动性看，张可可在被立案追诉前主动商议同案人并积极退缴赃款，有真诚悔罪的表现；第三，张可可在原审庭审过程中当庭自愿认罪，如实供述主要犯罪事实，有较好的认罪态度，主观恶性相对较小。</w:t>
      </w:r>
    </w:p>
    <w:p w14:paraId="6915E10D" w14:textId="77777777" w:rsidR="009F2914" w:rsidRDefault="009F2914">
      <w:pPr>
        <w:spacing w:line="500" w:lineRule="atLeast"/>
        <w:ind w:firstLine="600"/>
        <w:divId w:val="1738093730"/>
        <w:rPr>
          <w:rFonts w:hint="eastAsia"/>
          <w:sz w:val="30"/>
          <w:szCs w:val="30"/>
        </w:rPr>
      </w:pPr>
      <w:r>
        <w:rPr>
          <w:rFonts w:hint="eastAsia"/>
          <w:sz w:val="30"/>
          <w:szCs w:val="30"/>
        </w:rPr>
        <w:t>根据本案的事实、性质、情节、社会危害性，二审在量刑时可予以重新考虑。上诉人张可可及其辩护人提出的上诉、辩护意见，与查明的事实相符，本院予以采纳。</w:t>
      </w:r>
    </w:p>
    <w:p w14:paraId="07678BF7" w14:textId="77777777" w:rsidR="009F2914" w:rsidRDefault="009F2914">
      <w:pPr>
        <w:spacing w:line="500" w:lineRule="atLeast"/>
        <w:ind w:firstLine="600"/>
        <w:divId w:val="1014265911"/>
        <w:rPr>
          <w:rFonts w:hint="eastAsia"/>
          <w:sz w:val="30"/>
          <w:szCs w:val="30"/>
        </w:rPr>
      </w:pPr>
      <w:r>
        <w:rPr>
          <w:rFonts w:hint="eastAsia"/>
          <w:sz w:val="30"/>
          <w:szCs w:val="30"/>
        </w:rPr>
        <w:t>本院认为，上诉人张可可，原审被告人梁某甲利用张可可作为国家工作人员职务上的便利，结伙非法收受他人财物数额巨大，为他人谋取利益，其行为均已构成受贿罪。在共同犯罪中，上诉人张可可起主要作用，是主犯，应当按照其所参与、组织、指挥的全部犯罪处罚；原审被告人梁某甲受指使参与犯罪，在共同犯罪中起次要、辅助作用，是从犯，应当减轻处罚。原审被告人梁某甲归案后如实供述犯罪事实，自愿认罪，可从轻处罚；上诉人张可可在原庭审时承认指控的主要犯罪事实，自愿认罪，可对其酌情从轻处罚。上诉人张可可、原审被告人梁某甲已共同退出本案全部违法所得，可酌情从轻处罚。根据本案的事实、性质、情节、社会危害性及原审被告人梁某甲的认罪态度等因素，对原审被告人梁某甲适用缓刑确实不致再危害社会，可对其宣告缓刑。本案的违法所得依法应当予以追缴，上缴国库。原审判决认定的事实清楚，证据确实、充分，适用法律正确，审判程序合法。唯对上诉人张可可量刑不当，本院依法予以改判。综上，依照《中华人民共和国刑法》第十二条、第三百八十五条、第三百八十六条、第三百八十三条第一款第（二）项、第二十五条、第二十六条、第二十七条、第六十七条第三款、第五十二条、第五十三条、第七十二条、第七</w:t>
      </w:r>
      <w:r>
        <w:rPr>
          <w:rFonts w:hint="eastAsia"/>
          <w:sz w:val="30"/>
          <w:szCs w:val="30"/>
        </w:rPr>
        <w:t>十三条、第六十四条以及《最高人民法院、最高人民检察院关于办理贪污贿赂刑事案件适用法律若干问题的解释》第二条第一款、第十九条第一款的规定，《中华人民共和国刑事诉讼法》第二百二十五第一款第（二）项之规定，判决如下：</w:t>
      </w:r>
    </w:p>
    <w:p w14:paraId="2A7126D9" w14:textId="77777777" w:rsidR="009F2914" w:rsidRDefault="009F2914">
      <w:pPr>
        <w:spacing w:line="500" w:lineRule="atLeast"/>
        <w:ind w:firstLine="600"/>
        <w:divId w:val="1931621230"/>
        <w:rPr>
          <w:rFonts w:hint="eastAsia"/>
          <w:sz w:val="30"/>
          <w:szCs w:val="30"/>
        </w:rPr>
      </w:pPr>
      <w:r>
        <w:rPr>
          <w:rFonts w:hint="eastAsia"/>
          <w:sz w:val="30"/>
          <w:szCs w:val="30"/>
        </w:rPr>
        <w:t>一、维持广州市天河区人民法院</w:t>
      </w:r>
      <w:r>
        <w:rPr>
          <w:rFonts w:hint="eastAsia"/>
          <w:sz w:val="30"/>
          <w:szCs w:val="30"/>
        </w:rPr>
        <w:t>(2014)</w:t>
      </w:r>
      <w:r>
        <w:rPr>
          <w:rFonts w:hint="eastAsia"/>
          <w:sz w:val="30"/>
          <w:szCs w:val="30"/>
        </w:rPr>
        <w:t>穗天法刑初字第</w:t>
      </w:r>
      <w:r>
        <w:rPr>
          <w:rFonts w:hint="eastAsia"/>
          <w:sz w:val="30"/>
          <w:szCs w:val="30"/>
        </w:rPr>
        <w:t>2410</w:t>
      </w:r>
      <w:r>
        <w:rPr>
          <w:rFonts w:hint="eastAsia"/>
          <w:sz w:val="30"/>
          <w:szCs w:val="30"/>
        </w:rPr>
        <w:t>号刑事判决第二、三项和第一项对上诉人张可可犯受贿罪的定罪部分。</w:t>
      </w:r>
    </w:p>
    <w:p w14:paraId="51EC1B70" w14:textId="77777777" w:rsidR="009F2914" w:rsidRDefault="009F2914">
      <w:pPr>
        <w:spacing w:line="500" w:lineRule="atLeast"/>
        <w:ind w:firstLine="600"/>
        <w:divId w:val="237906356"/>
        <w:rPr>
          <w:rFonts w:hint="eastAsia"/>
          <w:sz w:val="30"/>
          <w:szCs w:val="30"/>
        </w:rPr>
      </w:pPr>
      <w:r>
        <w:rPr>
          <w:rFonts w:hint="eastAsia"/>
          <w:sz w:val="30"/>
          <w:szCs w:val="30"/>
        </w:rPr>
        <w:t>二、撤销广州市天河区人民法院</w:t>
      </w:r>
      <w:r>
        <w:rPr>
          <w:rFonts w:hint="eastAsia"/>
          <w:sz w:val="30"/>
          <w:szCs w:val="30"/>
        </w:rPr>
        <w:t>(2014)</w:t>
      </w:r>
      <w:r>
        <w:rPr>
          <w:rFonts w:hint="eastAsia"/>
          <w:sz w:val="30"/>
          <w:szCs w:val="30"/>
        </w:rPr>
        <w:t>穗天法刑初字第</w:t>
      </w:r>
      <w:r>
        <w:rPr>
          <w:rFonts w:hint="eastAsia"/>
          <w:sz w:val="30"/>
          <w:szCs w:val="30"/>
        </w:rPr>
        <w:t>2410</w:t>
      </w:r>
      <w:r>
        <w:rPr>
          <w:rFonts w:hint="eastAsia"/>
          <w:sz w:val="30"/>
          <w:szCs w:val="30"/>
        </w:rPr>
        <w:t>号刑事判决第一项对上诉人张可可犯受贿罪的量刑部分。</w:t>
      </w:r>
    </w:p>
    <w:p w14:paraId="69E571E6" w14:textId="77777777" w:rsidR="009F2914" w:rsidRDefault="009F2914">
      <w:pPr>
        <w:spacing w:line="500" w:lineRule="atLeast"/>
        <w:ind w:firstLine="600"/>
        <w:divId w:val="1828085338"/>
        <w:rPr>
          <w:rFonts w:hint="eastAsia"/>
          <w:sz w:val="30"/>
          <w:szCs w:val="30"/>
        </w:rPr>
      </w:pPr>
      <w:r>
        <w:rPr>
          <w:rFonts w:hint="eastAsia"/>
          <w:sz w:val="30"/>
          <w:szCs w:val="30"/>
        </w:rPr>
        <w:t>三、上诉人张可可犯受贿罪，判处有期徒刑四年，并处罚金人民币二十五万元。（刑期从判决执行之日起计算。判决执行以前先行羁押的，羁押一日折抵刑期一日。即从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日止。罚金自本判决发生法律效力之次日起一个月内缴纳。期满不缴纳的，强制缴纳。）</w:t>
      </w:r>
    </w:p>
    <w:p w14:paraId="224F7912" w14:textId="77777777" w:rsidR="009F2914" w:rsidRDefault="009F2914">
      <w:pPr>
        <w:spacing w:line="500" w:lineRule="atLeast"/>
        <w:ind w:firstLine="600"/>
        <w:divId w:val="1377775900"/>
        <w:rPr>
          <w:rFonts w:hint="eastAsia"/>
          <w:sz w:val="30"/>
          <w:szCs w:val="30"/>
        </w:rPr>
      </w:pPr>
      <w:r>
        <w:rPr>
          <w:rFonts w:hint="eastAsia"/>
          <w:sz w:val="30"/>
          <w:szCs w:val="30"/>
        </w:rPr>
        <w:t>本判决为终审判决。</w:t>
      </w:r>
    </w:p>
    <w:p w14:paraId="5DE46C52" w14:textId="77777777" w:rsidR="009F2914" w:rsidRDefault="009F2914">
      <w:pPr>
        <w:spacing w:line="500" w:lineRule="atLeast"/>
        <w:jc w:val="right"/>
        <w:divId w:val="488712716"/>
        <w:rPr>
          <w:rFonts w:hint="eastAsia"/>
          <w:sz w:val="30"/>
          <w:szCs w:val="30"/>
        </w:rPr>
      </w:pPr>
      <w:r>
        <w:rPr>
          <w:rFonts w:hint="eastAsia"/>
          <w:sz w:val="30"/>
          <w:szCs w:val="30"/>
        </w:rPr>
        <w:t>审判长　　唐军国</w:t>
      </w:r>
    </w:p>
    <w:p w14:paraId="1F1C7C41" w14:textId="77777777" w:rsidR="009F2914" w:rsidRDefault="009F2914">
      <w:pPr>
        <w:spacing w:line="500" w:lineRule="atLeast"/>
        <w:jc w:val="right"/>
        <w:divId w:val="902061353"/>
        <w:rPr>
          <w:rFonts w:hint="eastAsia"/>
          <w:sz w:val="30"/>
          <w:szCs w:val="30"/>
        </w:rPr>
      </w:pPr>
      <w:r>
        <w:rPr>
          <w:rFonts w:hint="eastAsia"/>
          <w:sz w:val="30"/>
          <w:szCs w:val="30"/>
        </w:rPr>
        <w:t>审判员　　梁　敏</w:t>
      </w:r>
    </w:p>
    <w:p w14:paraId="22D783C2" w14:textId="77777777" w:rsidR="009F2914" w:rsidRDefault="009F2914">
      <w:pPr>
        <w:spacing w:line="500" w:lineRule="atLeast"/>
        <w:jc w:val="right"/>
        <w:divId w:val="320084472"/>
        <w:rPr>
          <w:rFonts w:hint="eastAsia"/>
          <w:sz w:val="30"/>
          <w:szCs w:val="30"/>
        </w:rPr>
      </w:pPr>
      <w:r>
        <w:rPr>
          <w:rFonts w:hint="eastAsia"/>
          <w:sz w:val="30"/>
          <w:szCs w:val="30"/>
        </w:rPr>
        <w:t>审判员　　邵军锋</w:t>
      </w:r>
    </w:p>
    <w:p w14:paraId="40E68184" w14:textId="77777777" w:rsidR="009F2914" w:rsidRDefault="009F2914">
      <w:pPr>
        <w:spacing w:line="500" w:lineRule="atLeast"/>
        <w:jc w:val="right"/>
        <w:divId w:val="1204640316"/>
        <w:rPr>
          <w:rFonts w:hint="eastAsia"/>
          <w:sz w:val="30"/>
          <w:szCs w:val="30"/>
        </w:rPr>
      </w:pPr>
      <w:r>
        <w:rPr>
          <w:rFonts w:hint="eastAsia"/>
          <w:sz w:val="30"/>
          <w:szCs w:val="30"/>
        </w:rPr>
        <w:t>二〇一七年六月二日</w:t>
      </w:r>
    </w:p>
    <w:p w14:paraId="66038F33" w14:textId="77777777" w:rsidR="009F2914" w:rsidRDefault="009F2914">
      <w:pPr>
        <w:spacing w:line="500" w:lineRule="atLeast"/>
        <w:jc w:val="right"/>
        <w:divId w:val="1384675683"/>
        <w:rPr>
          <w:rFonts w:hint="eastAsia"/>
          <w:sz w:val="30"/>
          <w:szCs w:val="30"/>
        </w:rPr>
      </w:pPr>
      <w:r>
        <w:rPr>
          <w:rFonts w:hint="eastAsia"/>
          <w:sz w:val="30"/>
          <w:szCs w:val="30"/>
        </w:rPr>
        <w:t>书记员　　邓玉清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6BBE5" w14:textId="77777777" w:rsidR="00732A3E" w:rsidRDefault="00732A3E" w:rsidP="00732A3E">
      <w:pPr>
        <w:rPr>
          <w:rFonts w:hint="eastAsia"/>
        </w:rPr>
      </w:pPr>
      <w:r>
        <w:separator/>
      </w:r>
    </w:p>
  </w:endnote>
  <w:endnote w:type="continuationSeparator" w:id="0">
    <w:p w14:paraId="0A445FD2" w14:textId="77777777" w:rsidR="00732A3E" w:rsidRDefault="00732A3E" w:rsidP="00732A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08F50" w14:textId="77777777" w:rsidR="00732A3E" w:rsidRDefault="00732A3E" w:rsidP="00732A3E">
      <w:pPr>
        <w:rPr>
          <w:rFonts w:hint="eastAsia"/>
        </w:rPr>
      </w:pPr>
      <w:r>
        <w:separator/>
      </w:r>
    </w:p>
  </w:footnote>
  <w:footnote w:type="continuationSeparator" w:id="0">
    <w:p w14:paraId="43AABD3D" w14:textId="77777777" w:rsidR="00732A3E" w:rsidRDefault="00732A3E" w:rsidP="00732A3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2A3E"/>
    <w:rsid w:val="00732A3E"/>
    <w:rsid w:val="009F291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F54E2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32A3E"/>
    <w:pPr>
      <w:tabs>
        <w:tab w:val="center" w:pos="4153"/>
        <w:tab w:val="right" w:pos="8306"/>
      </w:tabs>
      <w:snapToGrid w:val="0"/>
      <w:jc w:val="center"/>
    </w:pPr>
    <w:rPr>
      <w:sz w:val="18"/>
      <w:szCs w:val="18"/>
    </w:rPr>
  </w:style>
  <w:style w:type="character" w:customStyle="1" w:styleId="a4">
    <w:name w:val="页眉 字符"/>
    <w:basedOn w:val="a0"/>
    <w:link w:val="a3"/>
    <w:uiPriority w:val="99"/>
    <w:rsid w:val="00732A3E"/>
    <w:rPr>
      <w:rFonts w:ascii="宋体" w:eastAsia="宋体" w:hAnsi="宋体" w:cs="宋体"/>
      <w:sz w:val="18"/>
      <w:szCs w:val="18"/>
    </w:rPr>
  </w:style>
  <w:style w:type="paragraph" w:styleId="a5">
    <w:name w:val="footer"/>
    <w:basedOn w:val="a"/>
    <w:link w:val="a6"/>
    <w:uiPriority w:val="99"/>
    <w:unhideWhenUsed/>
    <w:rsid w:val="00732A3E"/>
    <w:pPr>
      <w:tabs>
        <w:tab w:val="center" w:pos="4153"/>
        <w:tab w:val="right" w:pos="8306"/>
      </w:tabs>
      <w:snapToGrid w:val="0"/>
    </w:pPr>
    <w:rPr>
      <w:sz w:val="18"/>
      <w:szCs w:val="18"/>
    </w:rPr>
  </w:style>
  <w:style w:type="character" w:customStyle="1" w:styleId="a6">
    <w:name w:val="页脚 字符"/>
    <w:basedOn w:val="a0"/>
    <w:link w:val="a5"/>
    <w:uiPriority w:val="99"/>
    <w:rsid w:val="00732A3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31664">
      <w:marLeft w:val="0"/>
      <w:marRight w:val="0"/>
      <w:marTop w:val="10"/>
      <w:marBottom w:val="10"/>
      <w:divBdr>
        <w:top w:val="none" w:sz="0" w:space="0" w:color="auto"/>
        <w:left w:val="none" w:sz="0" w:space="0" w:color="auto"/>
        <w:bottom w:val="none" w:sz="0" w:space="0" w:color="auto"/>
        <w:right w:val="none" w:sz="0" w:space="0" w:color="auto"/>
      </w:divBdr>
    </w:div>
    <w:div w:id="212084864">
      <w:marLeft w:val="0"/>
      <w:marRight w:val="0"/>
      <w:marTop w:val="10"/>
      <w:marBottom w:val="10"/>
      <w:divBdr>
        <w:top w:val="none" w:sz="0" w:space="0" w:color="auto"/>
        <w:left w:val="none" w:sz="0" w:space="0" w:color="auto"/>
        <w:bottom w:val="none" w:sz="0" w:space="0" w:color="auto"/>
        <w:right w:val="none" w:sz="0" w:space="0" w:color="auto"/>
      </w:divBdr>
    </w:div>
    <w:div w:id="218327118">
      <w:marLeft w:val="0"/>
      <w:marRight w:val="0"/>
      <w:marTop w:val="10"/>
      <w:marBottom w:val="10"/>
      <w:divBdr>
        <w:top w:val="none" w:sz="0" w:space="0" w:color="auto"/>
        <w:left w:val="none" w:sz="0" w:space="0" w:color="auto"/>
        <w:bottom w:val="none" w:sz="0" w:space="0" w:color="auto"/>
        <w:right w:val="none" w:sz="0" w:space="0" w:color="auto"/>
      </w:divBdr>
    </w:div>
    <w:div w:id="221715762">
      <w:marLeft w:val="0"/>
      <w:marRight w:val="0"/>
      <w:marTop w:val="10"/>
      <w:marBottom w:val="10"/>
      <w:divBdr>
        <w:top w:val="none" w:sz="0" w:space="0" w:color="auto"/>
        <w:left w:val="none" w:sz="0" w:space="0" w:color="auto"/>
        <w:bottom w:val="none" w:sz="0" w:space="0" w:color="auto"/>
        <w:right w:val="none" w:sz="0" w:space="0" w:color="auto"/>
      </w:divBdr>
    </w:div>
    <w:div w:id="237906356">
      <w:marLeft w:val="0"/>
      <w:marRight w:val="0"/>
      <w:marTop w:val="10"/>
      <w:marBottom w:val="10"/>
      <w:divBdr>
        <w:top w:val="none" w:sz="0" w:space="0" w:color="auto"/>
        <w:left w:val="none" w:sz="0" w:space="0" w:color="auto"/>
        <w:bottom w:val="none" w:sz="0" w:space="0" w:color="auto"/>
        <w:right w:val="none" w:sz="0" w:space="0" w:color="auto"/>
      </w:divBdr>
    </w:div>
    <w:div w:id="253176532">
      <w:marLeft w:val="0"/>
      <w:marRight w:val="0"/>
      <w:marTop w:val="10"/>
      <w:marBottom w:val="10"/>
      <w:divBdr>
        <w:top w:val="none" w:sz="0" w:space="0" w:color="auto"/>
        <w:left w:val="none" w:sz="0" w:space="0" w:color="auto"/>
        <w:bottom w:val="none" w:sz="0" w:space="0" w:color="auto"/>
        <w:right w:val="none" w:sz="0" w:space="0" w:color="auto"/>
      </w:divBdr>
    </w:div>
    <w:div w:id="320084472">
      <w:marLeft w:val="0"/>
      <w:marRight w:val="720"/>
      <w:marTop w:val="10"/>
      <w:marBottom w:val="10"/>
      <w:divBdr>
        <w:top w:val="none" w:sz="0" w:space="0" w:color="auto"/>
        <w:left w:val="none" w:sz="0" w:space="0" w:color="auto"/>
        <w:bottom w:val="none" w:sz="0" w:space="0" w:color="auto"/>
        <w:right w:val="none" w:sz="0" w:space="0" w:color="auto"/>
      </w:divBdr>
    </w:div>
    <w:div w:id="386030911">
      <w:marLeft w:val="0"/>
      <w:marRight w:val="0"/>
      <w:marTop w:val="10"/>
      <w:marBottom w:val="10"/>
      <w:divBdr>
        <w:top w:val="none" w:sz="0" w:space="0" w:color="auto"/>
        <w:left w:val="none" w:sz="0" w:space="0" w:color="auto"/>
        <w:bottom w:val="none" w:sz="0" w:space="0" w:color="auto"/>
        <w:right w:val="none" w:sz="0" w:space="0" w:color="auto"/>
      </w:divBdr>
    </w:div>
    <w:div w:id="488712716">
      <w:marLeft w:val="0"/>
      <w:marRight w:val="720"/>
      <w:marTop w:val="10"/>
      <w:marBottom w:val="10"/>
      <w:divBdr>
        <w:top w:val="none" w:sz="0" w:space="0" w:color="auto"/>
        <w:left w:val="none" w:sz="0" w:space="0" w:color="auto"/>
        <w:bottom w:val="none" w:sz="0" w:space="0" w:color="auto"/>
        <w:right w:val="none" w:sz="0" w:space="0" w:color="auto"/>
      </w:divBdr>
    </w:div>
    <w:div w:id="522675114">
      <w:marLeft w:val="0"/>
      <w:marRight w:val="0"/>
      <w:marTop w:val="10"/>
      <w:marBottom w:val="10"/>
      <w:divBdr>
        <w:top w:val="none" w:sz="0" w:space="0" w:color="auto"/>
        <w:left w:val="none" w:sz="0" w:space="0" w:color="auto"/>
        <w:bottom w:val="none" w:sz="0" w:space="0" w:color="auto"/>
        <w:right w:val="none" w:sz="0" w:space="0" w:color="auto"/>
      </w:divBdr>
    </w:div>
    <w:div w:id="542835429">
      <w:marLeft w:val="0"/>
      <w:marRight w:val="0"/>
      <w:marTop w:val="10"/>
      <w:marBottom w:val="10"/>
      <w:divBdr>
        <w:top w:val="none" w:sz="0" w:space="0" w:color="auto"/>
        <w:left w:val="none" w:sz="0" w:space="0" w:color="auto"/>
        <w:bottom w:val="none" w:sz="0" w:space="0" w:color="auto"/>
        <w:right w:val="none" w:sz="0" w:space="0" w:color="auto"/>
      </w:divBdr>
    </w:div>
    <w:div w:id="582615103">
      <w:marLeft w:val="0"/>
      <w:marRight w:val="0"/>
      <w:marTop w:val="10"/>
      <w:marBottom w:val="10"/>
      <w:divBdr>
        <w:top w:val="none" w:sz="0" w:space="0" w:color="auto"/>
        <w:left w:val="none" w:sz="0" w:space="0" w:color="auto"/>
        <w:bottom w:val="none" w:sz="0" w:space="0" w:color="auto"/>
        <w:right w:val="none" w:sz="0" w:space="0" w:color="auto"/>
      </w:divBdr>
    </w:div>
    <w:div w:id="690687271">
      <w:marLeft w:val="0"/>
      <w:marRight w:val="0"/>
      <w:marTop w:val="10"/>
      <w:marBottom w:val="10"/>
      <w:divBdr>
        <w:top w:val="none" w:sz="0" w:space="0" w:color="auto"/>
        <w:left w:val="none" w:sz="0" w:space="0" w:color="auto"/>
        <w:bottom w:val="none" w:sz="0" w:space="0" w:color="auto"/>
        <w:right w:val="none" w:sz="0" w:space="0" w:color="auto"/>
      </w:divBdr>
    </w:div>
    <w:div w:id="902061353">
      <w:marLeft w:val="0"/>
      <w:marRight w:val="720"/>
      <w:marTop w:val="10"/>
      <w:marBottom w:val="10"/>
      <w:divBdr>
        <w:top w:val="none" w:sz="0" w:space="0" w:color="auto"/>
        <w:left w:val="none" w:sz="0" w:space="0" w:color="auto"/>
        <w:bottom w:val="none" w:sz="0" w:space="0" w:color="auto"/>
        <w:right w:val="none" w:sz="0" w:space="0" w:color="auto"/>
      </w:divBdr>
    </w:div>
    <w:div w:id="1014265911">
      <w:marLeft w:val="0"/>
      <w:marRight w:val="0"/>
      <w:marTop w:val="10"/>
      <w:marBottom w:val="10"/>
      <w:divBdr>
        <w:top w:val="none" w:sz="0" w:space="0" w:color="auto"/>
        <w:left w:val="none" w:sz="0" w:space="0" w:color="auto"/>
        <w:bottom w:val="none" w:sz="0" w:space="0" w:color="auto"/>
        <w:right w:val="none" w:sz="0" w:space="0" w:color="auto"/>
      </w:divBdr>
    </w:div>
    <w:div w:id="1096289647">
      <w:marLeft w:val="0"/>
      <w:marRight w:val="0"/>
      <w:marTop w:val="10"/>
      <w:marBottom w:val="10"/>
      <w:divBdr>
        <w:top w:val="none" w:sz="0" w:space="0" w:color="auto"/>
        <w:left w:val="none" w:sz="0" w:space="0" w:color="auto"/>
        <w:bottom w:val="none" w:sz="0" w:space="0" w:color="auto"/>
        <w:right w:val="none" w:sz="0" w:space="0" w:color="auto"/>
      </w:divBdr>
    </w:div>
    <w:div w:id="1204640316">
      <w:marLeft w:val="0"/>
      <w:marRight w:val="720"/>
      <w:marTop w:val="10"/>
      <w:marBottom w:val="10"/>
      <w:divBdr>
        <w:top w:val="none" w:sz="0" w:space="0" w:color="auto"/>
        <w:left w:val="none" w:sz="0" w:space="0" w:color="auto"/>
        <w:bottom w:val="none" w:sz="0" w:space="0" w:color="auto"/>
        <w:right w:val="none" w:sz="0" w:space="0" w:color="auto"/>
      </w:divBdr>
    </w:div>
    <w:div w:id="1259870788">
      <w:marLeft w:val="0"/>
      <w:marRight w:val="0"/>
      <w:marTop w:val="10"/>
      <w:marBottom w:val="10"/>
      <w:divBdr>
        <w:top w:val="none" w:sz="0" w:space="0" w:color="auto"/>
        <w:left w:val="none" w:sz="0" w:space="0" w:color="auto"/>
        <w:bottom w:val="none" w:sz="0" w:space="0" w:color="auto"/>
        <w:right w:val="none" w:sz="0" w:space="0" w:color="auto"/>
      </w:divBdr>
    </w:div>
    <w:div w:id="1297372844">
      <w:marLeft w:val="0"/>
      <w:marRight w:val="0"/>
      <w:marTop w:val="10"/>
      <w:marBottom w:val="10"/>
      <w:divBdr>
        <w:top w:val="none" w:sz="0" w:space="0" w:color="auto"/>
        <w:left w:val="none" w:sz="0" w:space="0" w:color="auto"/>
        <w:bottom w:val="none" w:sz="0" w:space="0" w:color="auto"/>
        <w:right w:val="none" w:sz="0" w:space="0" w:color="auto"/>
      </w:divBdr>
    </w:div>
    <w:div w:id="1377775900">
      <w:marLeft w:val="0"/>
      <w:marRight w:val="0"/>
      <w:marTop w:val="10"/>
      <w:marBottom w:val="10"/>
      <w:divBdr>
        <w:top w:val="none" w:sz="0" w:space="0" w:color="auto"/>
        <w:left w:val="none" w:sz="0" w:space="0" w:color="auto"/>
        <w:bottom w:val="none" w:sz="0" w:space="0" w:color="auto"/>
        <w:right w:val="none" w:sz="0" w:space="0" w:color="auto"/>
      </w:divBdr>
    </w:div>
    <w:div w:id="1384675683">
      <w:marLeft w:val="0"/>
      <w:marRight w:val="720"/>
      <w:marTop w:val="10"/>
      <w:marBottom w:val="10"/>
      <w:divBdr>
        <w:top w:val="none" w:sz="0" w:space="0" w:color="auto"/>
        <w:left w:val="none" w:sz="0" w:space="0" w:color="auto"/>
        <w:bottom w:val="none" w:sz="0" w:space="0" w:color="auto"/>
        <w:right w:val="none" w:sz="0" w:space="0" w:color="auto"/>
      </w:divBdr>
    </w:div>
    <w:div w:id="1738093730">
      <w:marLeft w:val="0"/>
      <w:marRight w:val="0"/>
      <w:marTop w:val="10"/>
      <w:marBottom w:val="10"/>
      <w:divBdr>
        <w:top w:val="none" w:sz="0" w:space="0" w:color="auto"/>
        <w:left w:val="none" w:sz="0" w:space="0" w:color="auto"/>
        <w:bottom w:val="none" w:sz="0" w:space="0" w:color="auto"/>
        <w:right w:val="none" w:sz="0" w:space="0" w:color="auto"/>
      </w:divBdr>
    </w:div>
    <w:div w:id="1828085338">
      <w:marLeft w:val="0"/>
      <w:marRight w:val="0"/>
      <w:marTop w:val="10"/>
      <w:marBottom w:val="10"/>
      <w:divBdr>
        <w:top w:val="none" w:sz="0" w:space="0" w:color="auto"/>
        <w:left w:val="none" w:sz="0" w:space="0" w:color="auto"/>
        <w:bottom w:val="none" w:sz="0" w:space="0" w:color="auto"/>
        <w:right w:val="none" w:sz="0" w:space="0" w:color="auto"/>
      </w:divBdr>
    </w:div>
    <w:div w:id="1876459185">
      <w:marLeft w:val="0"/>
      <w:marRight w:val="0"/>
      <w:marTop w:val="10"/>
      <w:marBottom w:val="10"/>
      <w:divBdr>
        <w:top w:val="none" w:sz="0" w:space="0" w:color="auto"/>
        <w:left w:val="none" w:sz="0" w:space="0" w:color="auto"/>
        <w:bottom w:val="none" w:sz="0" w:space="0" w:color="auto"/>
        <w:right w:val="none" w:sz="0" w:space="0" w:color="auto"/>
      </w:divBdr>
    </w:div>
    <w:div w:id="1931621230">
      <w:marLeft w:val="0"/>
      <w:marRight w:val="0"/>
      <w:marTop w:val="10"/>
      <w:marBottom w:val="10"/>
      <w:divBdr>
        <w:top w:val="none" w:sz="0" w:space="0" w:color="auto"/>
        <w:left w:val="none" w:sz="0" w:space="0" w:color="auto"/>
        <w:bottom w:val="none" w:sz="0" w:space="0" w:color="auto"/>
        <w:right w:val="none" w:sz="0" w:space="0" w:color="auto"/>
      </w:divBdr>
    </w:div>
    <w:div w:id="21038000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567</Words>
  <Characters>3236</Characters>
  <Application>Microsoft Office Word</Application>
  <DocSecurity>0</DocSecurity>
  <Lines>26</Lines>
  <Paragraphs>7</Paragraphs>
  <ScaleCrop>false</ScaleCrop>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2025-04-30T05:26:00Z</dcterms:created>
  <dcterms:modified xsi:type="dcterms:W3CDTF">2025-04-30T05:27:00Z</dcterms:modified>
</cp:coreProperties>
</file>