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F59F" w14:textId="77777777" w:rsidR="00905EC5" w:rsidRDefault="00905EC5">
      <w:pPr>
        <w:spacing w:line="500" w:lineRule="atLeast"/>
        <w:jc w:val="center"/>
        <w:divId w:val="143817050"/>
        <w:rPr>
          <w:rFonts w:ascii="黑体" w:eastAsia="黑体" w:hAnsi="黑体"/>
          <w:sz w:val="36"/>
          <w:szCs w:val="36"/>
        </w:rPr>
      </w:pPr>
      <w:r>
        <w:rPr>
          <w:rFonts w:ascii="黑体" w:eastAsia="黑体" w:hAnsi="黑体" w:hint="eastAsia"/>
          <w:sz w:val="36"/>
          <w:szCs w:val="36"/>
        </w:rPr>
        <w:t>广东省江门市新会区人民法院</w:t>
      </w:r>
    </w:p>
    <w:p w14:paraId="2AE3A922" w14:textId="77777777" w:rsidR="00905EC5" w:rsidRDefault="00905EC5">
      <w:pPr>
        <w:spacing w:line="500" w:lineRule="atLeast"/>
        <w:jc w:val="center"/>
        <w:divId w:val="7988850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DC450E" w14:textId="77777777" w:rsidR="00905EC5" w:rsidRDefault="00905EC5">
      <w:pPr>
        <w:spacing w:line="500" w:lineRule="atLeast"/>
        <w:jc w:val="right"/>
        <w:divId w:val="1990205272"/>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17</w:t>
      </w:r>
      <w:r>
        <w:rPr>
          <w:rFonts w:hint="eastAsia"/>
          <w:sz w:val="30"/>
          <w:szCs w:val="30"/>
        </w:rPr>
        <w:t>号</w:t>
      </w:r>
    </w:p>
    <w:p w14:paraId="6F5223C4" w14:textId="77777777" w:rsidR="00905EC5" w:rsidRDefault="00905EC5">
      <w:pPr>
        <w:spacing w:line="500" w:lineRule="atLeast"/>
        <w:ind w:firstLine="600"/>
        <w:divId w:val="2074889798"/>
        <w:rPr>
          <w:rFonts w:hint="eastAsia"/>
          <w:sz w:val="30"/>
          <w:szCs w:val="30"/>
        </w:rPr>
      </w:pPr>
      <w:r>
        <w:rPr>
          <w:rFonts w:hint="eastAsia"/>
          <w:sz w:val="30"/>
          <w:szCs w:val="30"/>
        </w:rPr>
        <w:t>公诉机关江门市新会区人民检察院。</w:t>
      </w:r>
    </w:p>
    <w:p w14:paraId="3D3315CE" w14:textId="77777777" w:rsidR="00905EC5" w:rsidRDefault="00905EC5">
      <w:pPr>
        <w:spacing w:line="500" w:lineRule="atLeast"/>
        <w:ind w:firstLine="600"/>
        <w:divId w:val="2069187619"/>
        <w:rPr>
          <w:rFonts w:hint="eastAsia"/>
          <w:sz w:val="30"/>
          <w:szCs w:val="30"/>
        </w:rPr>
      </w:pPr>
      <w:r>
        <w:rPr>
          <w:rFonts w:hint="eastAsia"/>
          <w:sz w:val="30"/>
          <w:szCs w:val="30"/>
        </w:rPr>
        <w:t>被告人曾伟棠，男，</w:t>
      </w:r>
      <w:r>
        <w:rPr>
          <w:rFonts w:hint="eastAsia"/>
          <w:sz w:val="30"/>
          <w:szCs w:val="30"/>
        </w:rPr>
        <w:t>1983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日出生于广东省江门市，公民身份号码</w:t>
      </w:r>
      <w:r>
        <w:rPr>
          <w:rFonts w:hint="eastAsia"/>
          <w:sz w:val="30"/>
          <w:szCs w:val="30"/>
        </w:rPr>
        <w:t>440***************</w:t>
      </w:r>
      <w:r>
        <w:rPr>
          <w:rFonts w:hint="eastAsia"/>
          <w:sz w:val="30"/>
          <w:szCs w:val="30"/>
        </w:rPr>
        <w:t>，汉族，高中文化，中共党员，原江门市新会区</w:t>
      </w:r>
      <w:r>
        <w:rPr>
          <w:rFonts w:hint="eastAsia"/>
          <w:sz w:val="30"/>
          <w:szCs w:val="30"/>
        </w:rPr>
        <w:t>***</w:t>
      </w:r>
      <w:r>
        <w:rPr>
          <w:rFonts w:hint="eastAsia"/>
          <w:sz w:val="30"/>
          <w:szCs w:val="30"/>
        </w:rPr>
        <w:t>警务区治安队队长，户籍所在地江门市新会区。因本案于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日被逮捕，</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日被本院决定取保候审。</w:t>
      </w:r>
    </w:p>
    <w:p w14:paraId="6BD8668F" w14:textId="77777777" w:rsidR="00905EC5" w:rsidRDefault="00905EC5">
      <w:pPr>
        <w:spacing w:line="500" w:lineRule="atLeast"/>
        <w:ind w:firstLine="600"/>
        <w:divId w:val="1959339012"/>
        <w:rPr>
          <w:rFonts w:hint="eastAsia"/>
          <w:sz w:val="30"/>
          <w:szCs w:val="30"/>
        </w:rPr>
      </w:pPr>
      <w:r>
        <w:rPr>
          <w:rFonts w:hint="eastAsia"/>
          <w:sz w:val="30"/>
          <w:szCs w:val="30"/>
        </w:rPr>
        <w:t>辩护人杜丹丹，是广东圭峰律师事务所律师，由江门市新会区法律援助处指派。</w:t>
      </w:r>
    </w:p>
    <w:p w14:paraId="67E37D46" w14:textId="77777777" w:rsidR="00905EC5" w:rsidRDefault="00905EC5">
      <w:pPr>
        <w:spacing w:line="500" w:lineRule="atLeast"/>
        <w:ind w:firstLine="600"/>
        <w:divId w:val="1339187869"/>
        <w:rPr>
          <w:rFonts w:hint="eastAsia"/>
          <w:sz w:val="30"/>
          <w:szCs w:val="30"/>
        </w:rPr>
      </w:pPr>
      <w:r>
        <w:rPr>
          <w:rFonts w:hint="eastAsia"/>
          <w:sz w:val="30"/>
          <w:szCs w:val="30"/>
        </w:rPr>
        <w:t>被告人蒋欣杰，男，</w:t>
      </w:r>
      <w:r>
        <w:rPr>
          <w:rFonts w:hint="eastAsia"/>
          <w:sz w:val="30"/>
          <w:szCs w:val="30"/>
        </w:rPr>
        <w:t>1985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日出生于广东省江门市，公民身份号码</w:t>
      </w:r>
      <w:r>
        <w:rPr>
          <w:rFonts w:hint="eastAsia"/>
          <w:sz w:val="30"/>
          <w:szCs w:val="30"/>
        </w:rPr>
        <w:t>440***************</w:t>
      </w:r>
      <w:r>
        <w:rPr>
          <w:rFonts w:hint="eastAsia"/>
          <w:sz w:val="30"/>
          <w:szCs w:val="30"/>
        </w:rPr>
        <w:t>，汉族，高中文化，中共党员，原江门市新会区</w:t>
      </w:r>
      <w:r>
        <w:rPr>
          <w:rFonts w:hint="eastAsia"/>
          <w:sz w:val="30"/>
          <w:szCs w:val="30"/>
        </w:rPr>
        <w:t>***</w:t>
      </w:r>
      <w:r>
        <w:rPr>
          <w:rFonts w:hint="eastAsia"/>
          <w:sz w:val="30"/>
          <w:szCs w:val="30"/>
        </w:rPr>
        <w:t>警务区治安队队长，户籍所在地江门市新会区。因本案于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日被逮捕。现押于江门市看守所。</w:t>
      </w:r>
    </w:p>
    <w:p w14:paraId="1D49D40D" w14:textId="77777777" w:rsidR="00905EC5" w:rsidRDefault="00905EC5">
      <w:pPr>
        <w:spacing w:line="500" w:lineRule="atLeast"/>
        <w:ind w:firstLine="600"/>
        <w:divId w:val="1362978554"/>
        <w:rPr>
          <w:rFonts w:hint="eastAsia"/>
          <w:sz w:val="30"/>
          <w:szCs w:val="30"/>
        </w:rPr>
      </w:pPr>
      <w:r>
        <w:rPr>
          <w:rFonts w:hint="eastAsia"/>
          <w:sz w:val="30"/>
          <w:szCs w:val="30"/>
        </w:rPr>
        <w:t>辩护人张烈勤，是广东圭峰律师事务所律师，由江门市新会区法律援助处指派。</w:t>
      </w:r>
    </w:p>
    <w:p w14:paraId="3458C699" w14:textId="77777777" w:rsidR="00905EC5" w:rsidRDefault="00905EC5">
      <w:pPr>
        <w:spacing w:line="500" w:lineRule="atLeast"/>
        <w:ind w:firstLine="600"/>
        <w:divId w:val="827021397"/>
        <w:rPr>
          <w:rFonts w:hint="eastAsia"/>
          <w:sz w:val="30"/>
          <w:szCs w:val="30"/>
        </w:rPr>
      </w:pPr>
      <w:r>
        <w:rPr>
          <w:rFonts w:hint="eastAsia"/>
          <w:sz w:val="30"/>
          <w:szCs w:val="30"/>
        </w:rPr>
        <w:t>江门市新会区人民检察院以新检公刑诉〔</w:t>
      </w:r>
      <w:r>
        <w:rPr>
          <w:rFonts w:hint="eastAsia"/>
          <w:sz w:val="30"/>
          <w:szCs w:val="30"/>
        </w:rPr>
        <w:t>2019</w:t>
      </w:r>
      <w:r>
        <w:rPr>
          <w:rFonts w:hint="eastAsia"/>
          <w:sz w:val="30"/>
          <w:szCs w:val="30"/>
        </w:rPr>
        <w:t>〕</w:t>
      </w:r>
      <w:r>
        <w:rPr>
          <w:rFonts w:hint="eastAsia"/>
          <w:sz w:val="30"/>
          <w:szCs w:val="30"/>
        </w:rPr>
        <w:t>774</w:t>
      </w:r>
      <w:r>
        <w:rPr>
          <w:rFonts w:hint="eastAsia"/>
          <w:sz w:val="30"/>
          <w:szCs w:val="30"/>
        </w:rPr>
        <w:t>号起诉书指控被告人曾伟棠犯帮助犯罪分子逃避处罚罪，被告人蒋欣杰犯帮助犯罪分子逃避处罚罪和受贿罪，于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日向本院提起公诉。本院依法组成合议庭，于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日公开开庭审理了本案。江门市新会区人民检察院指派检察员吴惠兰出庭支持公诉。被告人曾伟棠、蒋欣杰及辩护人杜丹丹、张烈勤均到庭参加诉讼。现已审理终结。</w:t>
      </w:r>
    </w:p>
    <w:p w14:paraId="4CC7A72F" w14:textId="77777777" w:rsidR="00905EC5" w:rsidRDefault="00905EC5">
      <w:pPr>
        <w:spacing w:line="500" w:lineRule="atLeast"/>
        <w:divId w:val="1262253904"/>
        <w:rPr>
          <w:rFonts w:hint="eastAsia"/>
          <w:sz w:val="30"/>
          <w:szCs w:val="30"/>
        </w:rPr>
      </w:pPr>
      <w:r>
        <w:rPr>
          <w:rFonts w:hint="eastAsia"/>
          <w:sz w:val="30"/>
          <w:szCs w:val="30"/>
        </w:rPr>
        <w:t>江门市新会区人民检察院指控：</w:t>
      </w:r>
    </w:p>
    <w:p w14:paraId="22659A7B" w14:textId="77777777" w:rsidR="00905EC5" w:rsidRDefault="00905EC5">
      <w:pPr>
        <w:spacing w:line="500" w:lineRule="atLeast"/>
        <w:ind w:firstLine="600"/>
        <w:divId w:val="1454596887"/>
        <w:rPr>
          <w:rFonts w:hint="eastAsia"/>
          <w:sz w:val="30"/>
          <w:szCs w:val="30"/>
        </w:rPr>
      </w:pPr>
      <w:r>
        <w:rPr>
          <w:rFonts w:hint="eastAsia"/>
          <w:sz w:val="30"/>
          <w:szCs w:val="30"/>
        </w:rPr>
        <w:lastRenderedPageBreak/>
        <w:t>1.2016</w:t>
      </w:r>
      <w:r>
        <w:rPr>
          <w:rFonts w:hint="eastAsia"/>
          <w:sz w:val="30"/>
          <w:szCs w:val="30"/>
        </w:rPr>
        <w:t>年年底至</w:t>
      </w:r>
      <w:r>
        <w:rPr>
          <w:rFonts w:hint="eastAsia"/>
          <w:sz w:val="30"/>
          <w:szCs w:val="30"/>
        </w:rPr>
        <w:t>2017</w:t>
      </w:r>
      <w:r>
        <w:rPr>
          <w:rFonts w:hint="eastAsia"/>
          <w:sz w:val="30"/>
          <w:szCs w:val="30"/>
        </w:rPr>
        <w:t>年春节期间，被告人曾伟棠在明知张健威（另案处理）在江门市新会区</w:t>
      </w:r>
      <w:r>
        <w:rPr>
          <w:rFonts w:hint="eastAsia"/>
          <w:sz w:val="30"/>
          <w:szCs w:val="30"/>
        </w:rPr>
        <w:t>******</w:t>
      </w:r>
      <w:r>
        <w:rPr>
          <w:rFonts w:hint="eastAsia"/>
          <w:sz w:val="30"/>
          <w:szCs w:val="30"/>
        </w:rPr>
        <w:t>开设赌场的情况下，利用其身为</w:t>
      </w:r>
      <w:r>
        <w:rPr>
          <w:rFonts w:hint="eastAsia"/>
          <w:sz w:val="30"/>
          <w:szCs w:val="30"/>
        </w:rPr>
        <w:t>***</w:t>
      </w:r>
      <w:r>
        <w:rPr>
          <w:rFonts w:hint="eastAsia"/>
          <w:sz w:val="30"/>
          <w:szCs w:val="30"/>
        </w:rPr>
        <w:t>警务区治安队队长的职务之便，采取故意不巡查或者在公安机关开展查禁专项行动时通风报信的方式，帮助张健威等人逃避处罚。期间，被告人曾伟棠先后</w:t>
      </w:r>
      <w:r>
        <w:rPr>
          <w:rFonts w:hint="eastAsia"/>
          <w:sz w:val="30"/>
          <w:szCs w:val="30"/>
        </w:rPr>
        <w:t>4</w:t>
      </w:r>
      <w:r>
        <w:rPr>
          <w:rFonts w:hint="eastAsia"/>
          <w:sz w:val="30"/>
          <w:szCs w:val="30"/>
        </w:rPr>
        <w:t>次收取张健威给予的好处费共计人民币（以下币种均为人民币）</w:t>
      </w:r>
      <w:r>
        <w:rPr>
          <w:rFonts w:hint="eastAsia"/>
          <w:sz w:val="30"/>
          <w:szCs w:val="30"/>
        </w:rPr>
        <w:t>8000</w:t>
      </w:r>
      <w:r>
        <w:rPr>
          <w:rFonts w:hint="eastAsia"/>
          <w:sz w:val="30"/>
          <w:szCs w:val="30"/>
        </w:rPr>
        <w:t>元，后平均分给警务区治安员，其个人分得</w:t>
      </w:r>
      <w:r>
        <w:rPr>
          <w:rFonts w:hint="eastAsia"/>
          <w:sz w:val="30"/>
          <w:szCs w:val="30"/>
        </w:rPr>
        <w:t>1600</w:t>
      </w:r>
      <w:r>
        <w:rPr>
          <w:rFonts w:hint="eastAsia"/>
          <w:sz w:val="30"/>
          <w:szCs w:val="30"/>
        </w:rPr>
        <w:t>元。</w:t>
      </w:r>
    </w:p>
    <w:p w14:paraId="2EE42372" w14:textId="77777777" w:rsidR="00905EC5" w:rsidRDefault="00905EC5">
      <w:pPr>
        <w:spacing w:line="500" w:lineRule="atLeast"/>
        <w:ind w:firstLine="600"/>
        <w:divId w:val="507911045"/>
        <w:rPr>
          <w:rFonts w:hint="eastAsia"/>
          <w:sz w:val="30"/>
          <w:szCs w:val="30"/>
        </w:rPr>
      </w:pPr>
      <w:r>
        <w:rPr>
          <w:rFonts w:hint="eastAsia"/>
          <w:sz w:val="30"/>
          <w:szCs w:val="30"/>
        </w:rPr>
        <w:t>2.2017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月期间，被告人蒋欣杰在</w:t>
      </w:r>
      <w:r>
        <w:rPr>
          <w:rFonts w:hint="eastAsia"/>
          <w:sz w:val="30"/>
          <w:szCs w:val="30"/>
        </w:rPr>
        <w:t>***</w:t>
      </w:r>
      <w:r>
        <w:rPr>
          <w:rFonts w:hint="eastAsia"/>
          <w:sz w:val="30"/>
          <w:szCs w:val="30"/>
        </w:rPr>
        <w:t>派出所民警刘某均（另案处理）的授意下向张健威收取开设赌场的“保护费”，并在公安机关查处该赌场或者开展查禁专项行动时通风报信，帮助张健威等人逃避处罚。期间，被告人蒋欣杰先后</w:t>
      </w:r>
      <w:r>
        <w:rPr>
          <w:rFonts w:hint="eastAsia"/>
          <w:sz w:val="30"/>
          <w:szCs w:val="30"/>
        </w:rPr>
        <w:t>8</w:t>
      </w:r>
      <w:r>
        <w:rPr>
          <w:rFonts w:hint="eastAsia"/>
          <w:sz w:val="30"/>
          <w:szCs w:val="30"/>
        </w:rPr>
        <w:t>次收取张健威给予的好处费共计</w:t>
      </w:r>
      <w:r>
        <w:rPr>
          <w:rFonts w:hint="eastAsia"/>
          <w:sz w:val="30"/>
          <w:szCs w:val="30"/>
        </w:rPr>
        <w:t>31000</w:t>
      </w:r>
      <w:r>
        <w:rPr>
          <w:rFonts w:hint="eastAsia"/>
          <w:sz w:val="30"/>
          <w:szCs w:val="30"/>
        </w:rPr>
        <w:t>元，其个人分得</w:t>
      </w:r>
      <w:r>
        <w:rPr>
          <w:rFonts w:hint="eastAsia"/>
          <w:sz w:val="30"/>
          <w:szCs w:val="30"/>
        </w:rPr>
        <w:t>6200</w:t>
      </w:r>
      <w:r>
        <w:rPr>
          <w:rFonts w:hint="eastAsia"/>
          <w:sz w:val="30"/>
          <w:szCs w:val="30"/>
        </w:rPr>
        <w:t>元。</w:t>
      </w:r>
    </w:p>
    <w:p w14:paraId="0130A030" w14:textId="77777777" w:rsidR="00905EC5" w:rsidRDefault="00905EC5">
      <w:pPr>
        <w:spacing w:line="500" w:lineRule="atLeast"/>
        <w:ind w:firstLine="600"/>
        <w:divId w:val="1412000362"/>
        <w:rPr>
          <w:rFonts w:hint="eastAsia"/>
          <w:sz w:val="30"/>
          <w:szCs w:val="30"/>
        </w:rPr>
      </w:pPr>
      <w:r>
        <w:rPr>
          <w:rFonts w:hint="eastAsia"/>
          <w:sz w:val="30"/>
          <w:szCs w:val="30"/>
        </w:rPr>
        <w:t>破案后，被告人曾伟棠、蒋欣杰均已全部退回违法所得。</w:t>
      </w:r>
    </w:p>
    <w:p w14:paraId="417E07C3" w14:textId="77777777" w:rsidR="00905EC5" w:rsidRDefault="00905EC5">
      <w:pPr>
        <w:spacing w:line="500" w:lineRule="atLeast"/>
        <w:ind w:firstLine="600"/>
        <w:divId w:val="413478615"/>
        <w:rPr>
          <w:rFonts w:hint="eastAsia"/>
          <w:sz w:val="30"/>
          <w:szCs w:val="30"/>
        </w:rPr>
      </w:pPr>
      <w:r>
        <w:rPr>
          <w:rFonts w:hint="eastAsia"/>
          <w:sz w:val="30"/>
          <w:szCs w:val="30"/>
        </w:rPr>
        <w:t>并提供被告人曾伟棠、蒋欣杰的供述和辩解，证人张健威、曾某捷、蒋某红等人的证言，现场勘查笔录及照片，有关书证等证据予以佐证，认为被告人曾伟棠的行为已构成帮助犯罪分子逃避处罚罪，建议对其判处十个月以上一年以下有期徒刑；被告人蒋欣杰的行为已分别构成帮助犯罪分子逃避处罚罪和受贿罪，建议以帮助犯罪分子逃避处罚罪对该被告人判处一年以上一年六个月以下有期徒刑，以受贿罪对该被告人判处十个月以上一年二个月以下有期徒刑，并处罚金，合并判处一年六个月以上二年以下有期徒刑徒刑，并处罚金。</w:t>
      </w:r>
    </w:p>
    <w:p w14:paraId="1AFC91C5" w14:textId="77777777" w:rsidR="00905EC5" w:rsidRDefault="00905EC5">
      <w:pPr>
        <w:spacing w:line="500" w:lineRule="atLeast"/>
        <w:ind w:firstLine="600"/>
        <w:divId w:val="1897624805"/>
        <w:rPr>
          <w:rFonts w:hint="eastAsia"/>
          <w:sz w:val="30"/>
          <w:szCs w:val="30"/>
        </w:rPr>
      </w:pPr>
      <w:r>
        <w:rPr>
          <w:rFonts w:hint="eastAsia"/>
          <w:sz w:val="30"/>
          <w:szCs w:val="30"/>
        </w:rPr>
        <w:t>被告人曾伟棠对指控的事实、罪名及量刑建议均无异议，且自愿在认罪认罚具结书上签字具结，在开庭审理过程中亦无异议。其辩护人对指控该被告人犯帮助犯罪分子逃避处罚罪无异议，同时提出该被告人犯罪后主动供述自己的犯罪事实，自愿认罪认罚，已退回自己收取的违法所得，且犯罪主观恶性较小，建议对该被告人从轻处罚并适用缓刑。</w:t>
      </w:r>
    </w:p>
    <w:p w14:paraId="6670EDE8" w14:textId="77777777" w:rsidR="00905EC5" w:rsidRDefault="00905EC5">
      <w:pPr>
        <w:spacing w:line="500" w:lineRule="atLeast"/>
        <w:ind w:firstLine="600"/>
        <w:divId w:val="282157824"/>
        <w:rPr>
          <w:rFonts w:hint="eastAsia"/>
          <w:sz w:val="30"/>
          <w:szCs w:val="30"/>
        </w:rPr>
      </w:pPr>
      <w:r>
        <w:rPr>
          <w:rFonts w:hint="eastAsia"/>
          <w:sz w:val="30"/>
          <w:szCs w:val="30"/>
        </w:rPr>
        <w:t>被告人蒋欣杰对指控的事实、罪名及量刑建议均无异议，且自愿在认罪认罚具结书上签字具结，在开庭审理过程中亦无异议。其辩护人对指控该被告人犯帮助犯罪分子逃避处罚罪和受贿罪的定性不持异议，同时提出该被告人是初犯，是受上司刘某均的授意才去收取好处费，与主动索贿存在较大区别，另外，该被告人归案后如实供述自己的犯罪事实，自愿认罪认罚和主动上缴违法所得，建议对该被告人从轻处罚，判处有期徒刑一年六个月或缓刑。</w:t>
      </w:r>
    </w:p>
    <w:p w14:paraId="1563D817" w14:textId="77777777" w:rsidR="00905EC5" w:rsidRDefault="00905EC5">
      <w:pPr>
        <w:spacing w:line="500" w:lineRule="atLeast"/>
        <w:ind w:firstLine="600"/>
        <w:divId w:val="419376790"/>
        <w:rPr>
          <w:rFonts w:hint="eastAsia"/>
          <w:sz w:val="30"/>
          <w:szCs w:val="30"/>
        </w:rPr>
      </w:pPr>
      <w:r>
        <w:rPr>
          <w:rFonts w:hint="eastAsia"/>
          <w:sz w:val="30"/>
          <w:szCs w:val="30"/>
        </w:rPr>
        <w:t>经审理查明，被告人曾伟棠于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月期间，被告人蒋欣杰于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月期间，先后担任江门市新会区</w:t>
      </w:r>
      <w:r>
        <w:rPr>
          <w:rFonts w:hint="eastAsia"/>
          <w:sz w:val="30"/>
          <w:szCs w:val="30"/>
        </w:rPr>
        <w:t>***</w:t>
      </w:r>
      <w:r>
        <w:rPr>
          <w:rFonts w:hint="eastAsia"/>
          <w:sz w:val="30"/>
          <w:szCs w:val="30"/>
        </w:rPr>
        <w:t>警务区治安队队长，属于公安机关警务辅助人员，任职期间需履行以下工作职责：治安员管理、人口管理、治安防范、情报信息、辖区巡查、值班备勤、警情处置、协助预防、制止犯罪活动等，包括协助民警预防、查禁辖区内“黄赌毒”等违法犯罪活动。上述被告人在任职期间，利用职务之便，收取他人好处费并故意帮助犯罪分子逃避处罚。被告人的具体犯罪事实如下：</w:t>
      </w:r>
    </w:p>
    <w:p w14:paraId="3265B908" w14:textId="77777777" w:rsidR="00905EC5" w:rsidRDefault="00905EC5">
      <w:pPr>
        <w:spacing w:line="500" w:lineRule="atLeast"/>
        <w:ind w:firstLine="600"/>
        <w:divId w:val="1433404580"/>
        <w:rPr>
          <w:rFonts w:hint="eastAsia"/>
          <w:sz w:val="30"/>
          <w:szCs w:val="30"/>
        </w:rPr>
      </w:pPr>
      <w:r>
        <w:rPr>
          <w:rFonts w:hint="eastAsia"/>
          <w:sz w:val="30"/>
          <w:szCs w:val="30"/>
        </w:rPr>
        <w:t>1.2016</w:t>
      </w:r>
      <w:r>
        <w:rPr>
          <w:rFonts w:hint="eastAsia"/>
          <w:sz w:val="30"/>
          <w:szCs w:val="30"/>
        </w:rPr>
        <w:t>年年底至</w:t>
      </w:r>
      <w:r>
        <w:rPr>
          <w:rFonts w:hint="eastAsia"/>
          <w:sz w:val="30"/>
          <w:szCs w:val="30"/>
        </w:rPr>
        <w:t>2017</w:t>
      </w:r>
      <w:r>
        <w:rPr>
          <w:rFonts w:hint="eastAsia"/>
          <w:sz w:val="30"/>
          <w:szCs w:val="30"/>
        </w:rPr>
        <w:t>年春节期间，被告人曾伟棠在明知张健威（另案处理）在江门市新会区</w:t>
      </w:r>
      <w:r>
        <w:rPr>
          <w:rFonts w:hint="eastAsia"/>
          <w:sz w:val="30"/>
          <w:szCs w:val="30"/>
        </w:rPr>
        <w:t>******</w:t>
      </w:r>
      <w:r>
        <w:rPr>
          <w:rFonts w:hint="eastAsia"/>
          <w:sz w:val="30"/>
          <w:szCs w:val="30"/>
        </w:rPr>
        <w:t>开设赌场的情况下，向张健威收取开设赌场的好处费，并利用其身为</w:t>
      </w:r>
      <w:r>
        <w:rPr>
          <w:rFonts w:hint="eastAsia"/>
          <w:sz w:val="30"/>
          <w:szCs w:val="30"/>
        </w:rPr>
        <w:t>***</w:t>
      </w:r>
      <w:r>
        <w:rPr>
          <w:rFonts w:hint="eastAsia"/>
          <w:sz w:val="30"/>
          <w:szCs w:val="30"/>
        </w:rPr>
        <w:t>警务区治安队队长的职务之便，采取故意不巡查或者在公安机关开展查禁专项行动时通风报信的方式，帮助张健威等人逃避处罚。期间，被告人曾伟棠先后</w:t>
      </w:r>
      <w:r>
        <w:rPr>
          <w:rFonts w:hint="eastAsia"/>
          <w:sz w:val="30"/>
          <w:szCs w:val="30"/>
        </w:rPr>
        <w:t>4</w:t>
      </w:r>
      <w:r>
        <w:rPr>
          <w:rFonts w:hint="eastAsia"/>
          <w:sz w:val="30"/>
          <w:szCs w:val="30"/>
        </w:rPr>
        <w:t>次收取张健威给予的好处费共计</w:t>
      </w:r>
      <w:r>
        <w:rPr>
          <w:rFonts w:hint="eastAsia"/>
          <w:sz w:val="30"/>
          <w:szCs w:val="30"/>
        </w:rPr>
        <w:t>8000</w:t>
      </w:r>
      <w:r>
        <w:rPr>
          <w:rFonts w:hint="eastAsia"/>
          <w:sz w:val="30"/>
          <w:szCs w:val="30"/>
        </w:rPr>
        <w:t>元，后将部分好处费平均分给警务区内包括被告人蒋欣杰等四名不知情的治安员，其中被告人曾伟棠和蒋欣杰各分得</w:t>
      </w:r>
      <w:r>
        <w:rPr>
          <w:rFonts w:hint="eastAsia"/>
          <w:sz w:val="30"/>
          <w:szCs w:val="30"/>
        </w:rPr>
        <w:t>1600</w:t>
      </w:r>
      <w:r>
        <w:rPr>
          <w:rFonts w:hint="eastAsia"/>
          <w:sz w:val="30"/>
          <w:szCs w:val="30"/>
        </w:rPr>
        <w:t>元。破案后，被告人曾伟棠已退回违法所得</w:t>
      </w:r>
      <w:r>
        <w:rPr>
          <w:rFonts w:hint="eastAsia"/>
          <w:sz w:val="30"/>
          <w:szCs w:val="30"/>
        </w:rPr>
        <w:t>1600</w:t>
      </w:r>
      <w:r>
        <w:rPr>
          <w:rFonts w:hint="eastAsia"/>
          <w:sz w:val="30"/>
          <w:szCs w:val="30"/>
        </w:rPr>
        <w:t>元，被告人蒋欣杰已退回违法所得</w:t>
      </w:r>
      <w:r>
        <w:rPr>
          <w:rFonts w:hint="eastAsia"/>
          <w:sz w:val="30"/>
          <w:szCs w:val="30"/>
        </w:rPr>
        <w:t>1700</w:t>
      </w:r>
      <w:r>
        <w:rPr>
          <w:rFonts w:hint="eastAsia"/>
          <w:sz w:val="30"/>
          <w:szCs w:val="30"/>
        </w:rPr>
        <w:t>元，另外两名治安员亦已退回各自收取的违法所得共计</w:t>
      </w:r>
      <w:r>
        <w:rPr>
          <w:rFonts w:hint="eastAsia"/>
          <w:sz w:val="30"/>
          <w:szCs w:val="30"/>
        </w:rPr>
        <w:t>3200</w:t>
      </w:r>
      <w:r>
        <w:rPr>
          <w:rFonts w:hint="eastAsia"/>
          <w:sz w:val="30"/>
          <w:szCs w:val="30"/>
        </w:rPr>
        <w:t>元。</w:t>
      </w:r>
    </w:p>
    <w:p w14:paraId="0378371C" w14:textId="77777777" w:rsidR="00905EC5" w:rsidRDefault="00905EC5">
      <w:pPr>
        <w:spacing w:line="500" w:lineRule="atLeast"/>
        <w:ind w:firstLine="600"/>
        <w:divId w:val="366490294"/>
        <w:rPr>
          <w:rFonts w:hint="eastAsia"/>
          <w:sz w:val="30"/>
          <w:szCs w:val="30"/>
        </w:rPr>
      </w:pPr>
      <w:r>
        <w:rPr>
          <w:rFonts w:hint="eastAsia"/>
          <w:sz w:val="30"/>
          <w:szCs w:val="30"/>
        </w:rPr>
        <w:t>2.2017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月期间，被告人蒋欣杰在</w:t>
      </w:r>
      <w:r>
        <w:rPr>
          <w:rFonts w:hint="eastAsia"/>
          <w:sz w:val="30"/>
          <w:szCs w:val="30"/>
        </w:rPr>
        <w:t>***</w:t>
      </w:r>
      <w:r>
        <w:rPr>
          <w:rFonts w:hint="eastAsia"/>
          <w:sz w:val="30"/>
          <w:szCs w:val="30"/>
        </w:rPr>
        <w:t>派出所民警刘某均（另案处理）的授意下向张健威收取开设赌场的好处费，并利用其身为</w:t>
      </w:r>
      <w:r>
        <w:rPr>
          <w:rFonts w:hint="eastAsia"/>
          <w:sz w:val="30"/>
          <w:szCs w:val="30"/>
        </w:rPr>
        <w:t>***</w:t>
      </w:r>
      <w:r>
        <w:rPr>
          <w:rFonts w:hint="eastAsia"/>
          <w:sz w:val="30"/>
          <w:szCs w:val="30"/>
        </w:rPr>
        <w:t>警务区治安队队长的职务之便，在公安机关查处该赌场或者开展查禁专项行动时通风报信，帮助张健威等人逃避处罚。期间，被告人蒋欣杰先后</w:t>
      </w:r>
      <w:r>
        <w:rPr>
          <w:rFonts w:hint="eastAsia"/>
          <w:sz w:val="30"/>
          <w:szCs w:val="30"/>
        </w:rPr>
        <w:t>8</w:t>
      </w:r>
      <w:r>
        <w:rPr>
          <w:rFonts w:hint="eastAsia"/>
          <w:sz w:val="30"/>
          <w:szCs w:val="30"/>
        </w:rPr>
        <w:t>次收取张健威给予的好处费共计</w:t>
      </w:r>
      <w:r>
        <w:rPr>
          <w:rFonts w:hint="eastAsia"/>
          <w:sz w:val="30"/>
          <w:szCs w:val="30"/>
        </w:rPr>
        <w:t>31000</w:t>
      </w:r>
      <w:r>
        <w:rPr>
          <w:rFonts w:hint="eastAsia"/>
          <w:sz w:val="30"/>
          <w:szCs w:val="30"/>
        </w:rPr>
        <w:t>元，后将部分好处费分给警务区内五名不知情的治安员，其中被告人蒋欣杰分得</w:t>
      </w:r>
      <w:r>
        <w:rPr>
          <w:rFonts w:hint="eastAsia"/>
          <w:sz w:val="30"/>
          <w:szCs w:val="30"/>
        </w:rPr>
        <w:t>6200</w:t>
      </w:r>
      <w:r>
        <w:rPr>
          <w:rFonts w:hint="eastAsia"/>
          <w:sz w:val="30"/>
          <w:szCs w:val="30"/>
        </w:rPr>
        <w:t>元。破案后，被告人蒋欣杰已退回违法所得</w:t>
      </w:r>
      <w:r>
        <w:rPr>
          <w:rFonts w:hint="eastAsia"/>
          <w:sz w:val="30"/>
          <w:szCs w:val="30"/>
        </w:rPr>
        <w:t>6200</w:t>
      </w:r>
      <w:r>
        <w:rPr>
          <w:rFonts w:hint="eastAsia"/>
          <w:sz w:val="30"/>
          <w:szCs w:val="30"/>
        </w:rPr>
        <w:t>元，其余五名治安员亦已退回各自收取的涉案违法所得共计</w:t>
      </w:r>
      <w:r>
        <w:rPr>
          <w:rFonts w:hint="eastAsia"/>
          <w:sz w:val="30"/>
          <w:szCs w:val="30"/>
        </w:rPr>
        <w:t>8000</w:t>
      </w:r>
      <w:r>
        <w:rPr>
          <w:rFonts w:hint="eastAsia"/>
          <w:sz w:val="30"/>
          <w:szCs w:val="30"/>
        </w:rPr>
        <w:t>元。</w:t>
      </w:r>
    </w:p>
    <w:p w14:paraId="35E6E06C" w14:textId="77777777" w:rsidR="00905EC5" w:rsidRDefault="00905EC5">
      <w:pPr>
        <w:spacing w:line="500" w:lineRule="atLeast"/>
        <w:ind w:firstLine="600"/>
        <w:divId w:val="401102134"/>
        <w:rPr>
          <w:rFonts w:hint="eastAsia"/>
          <w:sz w:val="30"/>
          <w:szCs w:val="30"/>
        </w:rPr>
      </w:pPr>
      <w:r>
        <w:rPr>
          <w:rFonts w:hint="eastAsia"/>
          <w:sz w:val="30"/>
          <w:szCs w:val="30"/>
        </w:rPr>
        <w:t>以上犯罪事实，有公诉机关当庭宣读、出示并经法庭质证的常住人口信息表、无违法犯罪记录证明、立案决定书、抓获经过、破案经过、到案经过说明、</w:t>
      </w:r>
      <w:r>
        <w:rPr>
          <w:rFonts w:hint="eastAsia"/>
          <w:sz w:val="30"/>
          <w:szCs w:val="30"/>
        </w:rPr>
        <w:t>110</w:t>
      </w:r>
      <w:r>
        <w:rPr>
          <w:rFonts w:hint="eastAsia"/>
          <w:sz w:val="30"/>
          <w:szCs w:val="30"/>
        </w:rPr>
        <w:t>报警处警记录、</w:t>
      </w:r>
      <w:r>
        <w:rPr>
          <w:rFonts w:hint="eastAsia"/>
          <w:sz w:val="30"/>
          <w:szCs w:val="30"/>
        </w:rPr>
        <w:t>***</w:t>
      </w:r>
      <w:r>
        <w:rPr>
          <w:rFonts w:hint="eastAsia"/>
          <w:sz w:val="30"/>
          <w:szCs w:val="30"/>
        </w:rPr>
        <w:t>警务区原治安队长职责说明、关于曾伟棠和蒋欣杰工作性质的情况说明、人员参保历史查询、代发工资说明、工资表、新会区公安机关有关整治黄赌的有关文件，蒋秾达和张健威等人刑事判决书、暂予扣留</w:t>
      </w:r>
      <w:r>
        <w:rPr>
          <w:rFonts w:hint="eastAsia"/>
          <w:sz w:val="30"/>
          <w:szCs w:val="30"/>
        </w:rPr>
        <w:t>/</w:t>
      </w:r>
      <w:r>
        <w:rPr>
          <w:rFonts w:hint="eastAsia"/>
          <w:sz w:val="30"/>
          <w:szCs w:val="30"/>
        </w:rPr>
        <w:t>封存涉案款物登记表、广东省暂时扣留</w:t>
      </w:r>
      <w:r>
        <w:rPr>
          <w:rFonts w:hint="eastAsia"/>
          <w:sz w:val="30"/>
          <w:szCs w:val="30"/>
        </w:rPr>
        <w:t>/</w:t>
      </w:r>
      <w:r>
        <w:rPr>
          <w:rFonts w:hint="eastAsia"/>
          <w:sz w:val="30"/>
          <w:szCs w:val="30"/>
        </w:rPr>
        <w:t>冻结财物收据、张健威等人开设赌场的证据材料，证人张健威、宋某威、聂某堂、蒋某就、邓某鑫、蒋某华、蒋某筹、曾某捷、蒋某红、蒋某毅、蒋某晖、刘某辉、蒋某辉、刘某均的证言，被告人曾伟棠、蒋欣杰的供述和辩解，现场勘查笔录及照片，辨认笔录等证据予以证实，足以认定。</w:t>
      </w:r>
    </w:p>
    <w:p w14:paraId="753C725D" w14:textId="77777777" w:rsidR="00905EC5" w:rsidRDefault="00905EC5">
      <w:pPr>
        <w:spacing w:line="500" w:lineRule="atLeast"/>
        <w:ind w:firstLine="600"/>
        <w:divId w:val="528033452"/>
        <w:rPr>
          <w:rFonts w:hint="eastAsia"/>
          <w:sz w:val="30"/>
          <w:szCs w:val="30"/>
        </w:rPr>
      </w:pPr>
      <w:r>
        <w:rPr>
          <w:rFonts w:hint="eastAsia"/>
          <w:sz w:val="30"/>
          <w:szCs w:val="30"/>
        </w:rPr>
        <w:t>本院认为，被告人曾伟棠身为负有查禁犯罪活动职责的国家机关工作人员，利用职务上的便利，非法收受犯罪分子的财物，向犯罪分子通风报信，帮助犯罪分子逃避处罚，其行为已构成帮助犯罪分子逃避处罚罪。被告人蒋欣杰身为负有查禁犯罪活动职责的国家机关工作人员，向犯罪分子通风报信，帮助犯罪分子逃避处罚；并利用职务上的便利，非法收受犯罪分子的财物，数额较大，其行为已分别构成帮助犯罪分子逃避处罚罪和受贿罪，依法应实行数罪并罚。公诉机关指控的罪名均成立。被告人曾伟棠非法收受犯罪分子的财物，虽未达到数额较大标准而不构成受贿罪，但因其具有非法收受财物情节，故在本案量刑时对其予以从重处罚。鉴于被告人曾伟棠、蒋欣杰犯罪后如实供述自己的罪行，愿意接受处罚，并在法庭上自愿认罪，且已退回本人实际领取的违法所得，可从轻处罚。另外，本案中，被告人曾伟棠非法收受</w:t>
      </w:r>
      <w:r>
        <w:rPr>
          <w:rFonts w:hint="eastAsia"/>
          <w:sz w:val="30"/>
          <w:szCs w:val="30"/>
        </w:rPr>
        <w:t>8000</w:t>
      </w:r>
      <w:r>
        <w:rPr>
          <w:rFonts w:hint="eastAsia"/>
          <w:sz w:val="30"/>
          <w:szCs w:val="30"/>
        </w:rPr>
        <w:t>元、被告人蒋欣杰非法收受</w:t>
      </w:r>
      <w:r>
        <w:rPr>
          <w:rFonts w:hint="eastAsia"/>
          <w:sz w:val="30"/>
          <w:szCs w:val="30"/>
        </w:rPr>
        <w:t>31000</w:t>
      </w:r>
      <w:r>
        <w:rPr>
          <w:rFonts w:hint="eastAsia"/>
          <w:sz w:val="30"/>
          <w:szCs w:val="30"/>
        </w:rPr>
        <w:t>元，至于被告二人如何分配上述款项，不影响本案犯罪数额的认定，因此上述违法所得应向被告人予以追缴。公诉机关提出的量刑建议恰当，予以采纳。关于被告人曾伟棠的辩护人提出对该被告人从轻处罚的意见，与查明事实相符，予以采纳，但根据该被告人的犯罪情节等，不宜对其适用缓刑；被告人蒋欣杰的辩护人提出对该被告人从轻处罚的意见，与查明事实相符，予以采纳，但建议对该被告人判处有期徒刑一年六个月或缓刑，上述刑期与该被告人的罪刑不相当，不予采纳。</w:t>
      </w:r>
    </w:p>
    <w:p w14:paraId="2AFC3F8A" w14:textId="77777777" w:rsidR="00905EC5" w:rsidRDefault="00905EC5">
      <w:pPr>
        <w:spacing w:line="500" w:lineRule="atLeast"/>
        <w:ind w:firstLine="600"/>
        <w:divId w:val="823547453"/>
        <w:rPr>
          <w:rFonts w:hint="eastAsia"/>
          <w:sz w:val="30"/>
          <w:szCs w:val="30"/>
        </w:rPr>
      </w:pPr>
      <w:r>
        <w:rPr>
          <w:rFonts w:hint="eastAsia"/>
          <w:sz w:val="30"/>
          <w:szCs w:val="30"/>
        </w:rPr>
        <w:t>依照《中华人民共和国刑法》第九十三条、第四百一十七条、第三百八十五条第一款、第三百八十六条、第三百八十三条第一款第（一）项及第三款、第六十九条第一款及第三款、第六十七条第三款、第五十二条、第五十三条、第六十四条，全国人民代表大会常务委员会《关</w:t>
      </w:r>
      <w:r>
        <w:rPr>
          <w:rFonts w:hint="eastAsia"/>
          <w:sz w:val="30"/>
          <w:szCs w:val="30"/>
        </w:rPr>
        <w:t>于</w:t>
      </w:r>
      <w:r>
        <w:rPr>
          <w:rFonts w:hint="eastAsia"/>
          <w:sz w:val="30"/>
          <w:szCs w:val="30"/>
        </w:rPr>
        <w:t>第九章渎职罪主体适用问题的解释》，最高人民法院、最高人民检察院《关于办理受贿贿赂刑事案件适用法律若干问题的解释》第一条第一款、第十九条第一款之规定，最高人民法院、最高人民检察院《关于办理渎职刑事案件适用法律若干问题的解释（一）》第三条，《中华人民共和国刑事诉讼法》第十五条、第二百零一条之规定，判决如下：</w:t>
      </w:r>
    </w:p>
    <w:p w14:paraId="2A1E5E63" w14:textId="77777777" w:rsidR="00905EC5" w:rsidRDefault="00905EC5">
      <w:pPr>
        <w:spacing w:line="500" w:lineRule="atLeast"/>
        <w:ind w:firstLine="600"/>
        <w:divId w:val="1926381366"/>
        <w:rPr>
          <w:rFonts w:hint="eastAsia"/>
          <w:sz w:val="30"/>
          <w:szCs w:val="30"/>
        </w:rPr>
      </w:pPr>
      <w:r>
        <w:rPr>
          <w:rFonts w:hint="eastAsia"/>
          <w:sz w:val="30"/>
          <w:szCs w:val="30"/>
        </w:rPr>
        <w:t>一、被告人曾伟棠犯帮助犯罪分子逃避处罚罪，判处有期徒刑一年。</w:t>
      </w:r>
    </w:p>
    <w:p w14:paraId="6A17B9DA" w14:textId="77777777" w:rsidR="00905EC5" w:rsidRDefault="00905EC5">
      <w:pPr>
        <w:spacing w:line="500" w:lineRule="atLeast"/>
        <w:ind w:firstLine="600"/>
        <w:divId w:val="6349188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日止。）</w:t>
      </w:r>
    </w:p>
    <w:p w14:paraId="2B41E1BF" w14:textId="77777777" w:rsidR="00905EC5" w:rsidRDefault="00905EC5">
      <w:pPr>
        <w:spacing w:line="500" w:lineRule="atLeast"/>
        <w:ind w:firstLine="600"/>
        <w:divId w:val="474416336"/>
        <w:rPr>
          <w:rFonts w:hint="eastAsia"/>
          <w:sz w:val="30"/>
          <w:szCs w:val="30"/>
        </w:rPr>
      </w:pPr>
      <w:r>
        <w:rPr>
          <w:rFonts w:hint="eastAsia"/>
          <w:sz w:val="30"/>
          <w:szCs w:val="30"/>
        </w:rPr>
        <w:t>二、被告人蒋欣杰犯帮助犯罪分子逃避处罚罪，判处有期徒刑一年二个月；犯受贿罪，判处有期徒刑一年，并处罚金人民币</w:t>
      </w:r>
      <w:r>
        <w:rPr>
          <w:rFonts w:hint="eastAsia"/>
          <w:sz w:val="30"/>
          <w:szCs w:val="30"/>
        </w:rPr>
        <w:t>100000</w:t>
      </w:r>
      <w:r>
        <w:rPr>
          <w:rFonts w:hint="eastAsia"/>
          <w:sz w:val="30"/>
          <w:szCs w:val="30"/>
        </w:rPr>
        <w:t>元。总和刑期为有期徒刑二年二个月，并处罚金人民币</w:t>
      </w:r>
      <w:r>
        <w:rPr>
          <w:rFonts w:hint="eastAsia"/>
          <w:sz w:val="30"/>
          <w:szCs w:val="30"/>
        </w:rPr>
        <w:t>100000</w:t>
      </w:r>
      <w:r>
        <w:rPr>
          <w:rFonts w:hint="eastAsia"/>
          <w:sz w:val="30"/>
          <w:szCs w:val="30"/>
        </w:rPr>
        <w:t>元；决定执行有期徒刑一年十个月，并处罚金人民币</w:t>
      </w:r>
      <w:r>
        <w:rPr>
          <w:rFonts w:hint="eastAsia"/>
          <w:sz w:val="30"/>
          <w:szCs w:val="30"/>
        </w:rPr>
        <w:t>100000</w:t>
      </w:r>
      <w:r>
        <w:rPr>
          <w:rFonts w:hint="eastAsia"/>
          <w:sz w:val="30"/>
          <w:szCs w:val="30"/>
        </w:rPr>
        <w:t>元。</w:t>
      </w:r>
    </w:p>
    <w:p w14:paraId="197E3867" w14:textId="77777777" w:rsidR="00905EC5" w:rsidRDefault="00905EC5">
      <w:pPr>
        <w:spacing w:line="500" w:lineRule="atLeast"/>
        <w:ind w:firstLine="600"/>
        <w:divId w:val="6891823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日止。罚金自本判决生效后十日内向本院缴纳。）</w:t>
      </w:r>
    </w:p>
    <w:p w14:paraId="1A467CFF" w14:textId="77777777" w:rsidR="00905EC5" w:rsidRDefault="00905EC5">
      <w:pPr>
        <w:spacing w:line="500" w:lineRule="atLeast"/>
        <w:ind w:firstLine="600"/>
        <w:divId w:val="1791780833"/>
        <w:rPr>
          <w:rFonts w:hint="eastAsia"/>
          <w:sz w:val="30"/>
          <w:szCs w:val="30"/>
        </w:rPr>
      </w:pPr>
      <w:r>
        <w:rPr>
          <w:rFonts w:hint="eastAsia"/>
          <w:sz w:val="30"/>
          <w:szCs w:val="30"/>
        </w:rPr>
        <w:t>三、对被告人曾伟棠收取的违法所得人民币</w:t>
      </w:r>
      <w:r>
        <w:rPr>
          <w:rFonts w:hint="eastAsia"/>
          <w:sz w:val="30"/>
          <w:szCs w:val="30"/>
        </w:rPr>
        <w:t>8000</w:t>
      </w:r>
      <w:r>
        <w:rPr>
          <w:rFonts w:hint="eastAsia"/>
          <w:sz w:val="30"/>
          <w:szCs w:val="30"/>
        </w:rPr>
        <w:t>元，予以追缴并没收（其中人民币</w:t>
      </w:r>
      <w:r>
        <w:rPr>
          <w:rFonts w:hint="eastAsia"/>
          <w:sz w:val="30"/>
          <w:szCs w:val="30"/>
        </w:rPr>
        <w:t>6500</w:t>
      </w:r>
      <w:r>
        <w:rPr>
          <w:rFonts w:hint="eastAsia"/>
          <w:sz w:val="30"/>
          <w:szCs w:val="30"/>
        </w:rPr>
        <w:t>元已暂扣在江门市新会区监察委员会，由该暂扣机关直接上缴国库；尚未退缴的违法所得人民币</w:t>
      </w:r>
      <w:r>
        <w:rPr>
          <w:rFonts w:hint="eastAsia"/>
          <w:sz w:val="30"/>
          <w:szCs w:val="30"/>
        </w:rPr>
        <w:t>1500</w:t>
      </w:r>
      <w:r>
        <w:rPr>
          <w:rFonts w:hint="eastAsia"/>
          <w:sz w:val="30"/>
          <w:szCs w:val="30"/>
        </w:rPr>
        <w:t>元由被告人曾伟棠自本判决生效后十日内向本院缴纳）。</w:t>
      </w:r>
    </w:p>
    <w:p w14:paraId="1D35F13F" w14:textId="77777777" w:rsidR="00905EC5" w:rsidRDefault="00905EC5">
      <w:pPr>
        <w:spacing w:line="500" w:lineRule="atLeast"/>
        <w:ind w:firstLine="600"/>
        <w:divId w:val="1212302926"/>
        <w:rPr>
          <w:rFonts w:hint="eastAsia"/>
          <w:sz w:val="30"/>
          <w:szCs w:val="30"/>
        </w:rPr>
      </w:pPr>
      <w:r>
        <w:rPr>
          <w:rFonts w:hint="eastAsia"/>
          <w:sz w:val="30"/>
          <w:szCs w:val="30"/>
        </w:rPr>
        <w:t>四、对被告人蒋欣杰收取的违法所得人民币</w:t>
      </w:r>
      <w:r>
        <w:rPr>
          <w:rFonts w:hint="eastAsia"/>
          <w:sz w:val="30"/>
          <w:szCs w:val="30"/>
        </w:rPr>
        <w:t>31000</w:t>
      </w:r>
      <w:r>
        <w:rPr>
          <w:rFonts w:hint="eastAsia"/>
          <w:sz w:val="30"/>
          <w:szCs w:val="30"/>
        </w:rPr>
        <w:t>元，予以追缴并没收（其中人民币</w:t>
      </w:r>
      <w:r>
        <w:rPr>
          <w:rFonts w:hint="eastAsia"/>
          <w:sz w:val="30"/>
          <w:szCs w:val="30"/>
        </w:rPr>
        <w:t>14200</w:t>
      </w:r>
      <w:r>
        <w:rPr>
          <w:rFonts w:hint="eastAsia"/>
          <w:sz w:val="30"/>
          <w:szCs w:val="30"/>
        </w:rPr>
        <w:t>元已暂扣在江门市新会区监察委员会，由该暂扣机关直接上缴国库；尚未退缴的违法所得人民币</w:t>
      </w:r>
      <w:r>
        <w:rPr>
          <w:rFonts w:hint="eastAsia"/>
          <w:sz w:val="30"/>
          <w:szCs w:val="30"/>
        </w:rPr>
        <w:t>16800</w:t>
      </w:r>
      <w:r>
        <w:rPr>
          <w:rFonts w:hint="eastAsia"/>
          <w:sz w:val="30"/>
          <w:szCs w:val="30"/>
        </w:rPr>
        <w:t>元由被告人蒋欣杰自本判决生效后十日内向本院缴纳）。</w:t>
      </w:r>
    </w:p>
    <w:p w14:paraId="3974B09D" w14:textId="77777777" w:rsidR="00905EC5" w:rsidRDefault="00905EC5">
      <w:pPr>
        <w:spacing w:line="500" w:lineRule="atLeast"/>
        <w:ind w:firstLine="600"/>
        <w:divId w:val="1309093403"/>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4CA84FC0" w14:textId="77777777" w:rsidR="00905EC5" w:rsidRDefault="00905EC5">
      <w:pPr>
        <w:spacing w:line="500" w:lineRule="atLeast"/>
        <w:jc w:val="right"/>
        <w:divId w:val="1571454234"/>
        <w:rPr>
          <w:rFonts w:hint="eastAsia"/>
          <w:sz w:val="30"/>
          <w:szCs w:val="30"/>
        </w:rPr>
      </w:pPr>
      <w:r>
        <w:rPr>
          <w:rFonts w:hint="eastAsia"/>
          <w:sz w:val="30"/>
          <w:szCs w:val="30"/>
        </w:rPr>
        <w:t>审判长　　梁津晃</w:t>
      </w:r>
    </w:p>
    <w:p w14:paraId="700854FC" w14:textId="77777777" w:rsidR="00905EC5" w:rsidRDefault="00905EC5">
      <w:pPr>
        <w:spacing w:line="500" w:lineRule="atLeast"/>
        <w:jc w:val="right"/>
        <w:divId w:val="1866363723"/>
        <w:rPr>
          <w:rFonts w:hint="eastAsia"/>
          <w:sz w:val="30"/>
          <w:szCs w:val="30"/>
        </w:rPr>
      </w:pPr>
      <w:r>
        <w:rPr>
          <w:rFonts w:hint="eastAsia"/>
          <w:sz w:val="30"/>
          <w:szCs w:val="30"/>
        </w:rPr>
        <w:t>审判员　　赵淑云</w:t>
      </w:r>
    </w:p>
    <w:p w14:paraId="0AB13864" w14:textId="77777777" w:rsidR="00905EC5" w:rsidRDefault="00905EC5">
      <w:pPr>
        <w:spacing w:line="500" w:lineRule="atLeast"/>
        <w:jc w:val="right"/>
        <w:divId w:val="706682297"/>
        <w:rPr>
          <w:rFonts w:hint="eastAsia"/>
          <w:sz w:val="30"/>
          <w:szCs w:val="30"/>
        </w:rPr>
      </w:pPr>
      <w:r>
        <w:rPr>
          <w:rFonts w:hint="eastAsia"/>
          <w:sz w:val="30"/>
          <w:szCs w:val="30"/>
        </w:rPr>
        <w:t>审判员　　陈仲庆</w:t>
      </w:r>
    </w:p>
    <w:p w14:paraId="4BCD1D15" w14:textId="77777777" w:rsidR="00905EC5" w:rsidRDefault="00905EC5">
      <w:pPr>
        <w:spacing w:line="500" w:lineRule="atLeast"/>
        <w:jc w:val="right"/>
        <w:divId w:val="1498229061"/>
        <w:rPr>
          <w:rFonts w:hint="eastAsia"/>
          <w:sz w:val="30"/>
          <w:szCs w:val="30"/>
        </w:rPr>
      </w:pPr>
      <w:r>
        <w:rPr>
          <w:rFonts w:hint="eastAsia"/>
          <w:sz w:val="30"/>
          <w:szCs w:val="30"/>
        </w:rPr>
        <w:t>二〇二〇年三月二十四日</w:t>
      </w:r>
    </w:p>
    <w:p w14:paraId="16E196C8" w14:textId="77777777" w:rsidR="00905EC5" w:rsidRDefault="00905EC5">
      <w:pPr>
        <w:spacing w:line="500" w:lineRule="atLeast"/>
        <w:jc w:val="right"/>
        <w:divId w:val="1651641161"/>
        <w:rPr>
          <w:rFonts w:hint="eastAsia"/>
          <w:sz w:val="30"/>
          <w:szCs w:val="30"/>
        </w:rPr>
      </w:pPr>
      <w:r>
        <w:rPr>
          <w:rFonts w:hint="eastAsia"/>
          <w:sz w:val="30"/>
          <w:szCs w:val="30"/>
        </w:rPr>
        <w:t>书记员　　王振潮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E3978" w14:textId="77777777" w:rsidR="00905EC5" w:rsidRDefault="00905EC5" w:rsidP="00905EC5">
      <w:pPr>
        <w:rPr>
          <w:rFonts w:hint="eastAsia"/>
        </w:rPr>
      </w:pPr>
      <w:r>
        <w:separator/>
      </w:r>
    </w:p>
  </w:endnote>
  <w:endnote w:type="continuationSeparator" w:id="0">
    <w:p w14:paraId="440E4B48" w14:textId="77777777" w:rsidR="00905EC5" w:rsidRDefault="00905EC5" w:rsidP="00905E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A4C36" w14:textId="77777777" w:rsidR="00905EC5" w:rsidRDefault="00905EC5" w:rsidP="00905EC5">
      <w:pPr>
        <w:rPr>
          <w:rFonts w:hint="eastAsia"/>
        </w:rPr>
      </w:pPr>
      <w:r>
        <w:separator/>
      </w:r>
    </w:p>
  </w:footnote>
  <w:footnote w:type="continuationSeparator" w:id="0">
    <w:p w14:paraId="095DB026" w14:textId="77777777" w:rsidR="00905EC5" w:rsidRDefault="00905EC5" w:rsidP="00905E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5EC5"/>
    <w:rsid w:val="00905EC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55C33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5EC5"/>
    <w:pPr>
      <w:tabs>
        <w:tab w:val="center" w:pos="4153"/>
        <w:tab w:val="right" w:pos="8306"/>
      </w:tabs>
      <w:snapToGrid w:val="0"/>
      <w:jc w:val="center"/>
    </w:pPr>
    <w:rPr>
      <w:sz w:val="18"/>
      <w:szCs w:val="18"/>
    </w:rPr>
  </w:style>
  <w:style w:type="character" w:customStyle="1" w:styleId="a4">
    <w:name w:val="页眉 字符"/>
    <w:basedOn w:val="a0"/>
    <w:link w:val="a3"/>
    <w:uiPriority w:val="99"/>
    <w:rsid w:val="00905EC5"/>
    <w:rPr>
      <w:rFonts w:ascii="宋体" w:eastAsia="宋体" w:hAnsi="宋体" w:cs="宋体"/>
      <w:sz w:val="18"/>
      <w:szCs w:val="18"/>
    </w:rPr>
  </w:style>
  <w:style w:type="paragraph" w:styleId="a5">
    <w:name w:val="footer"/>
    <w:basedOn w:val="a"/>
    <w:link w:val="a6"/>
    <w:uiPriority w:val="99"/>
    <w:unhideWhenUsed/>
    <w:rsid w:val="00905EC5"/>
    <w:pPr>
      <w:tabs>
        <w:tab w:val="center" w:pos="4153"/>
        <w:tab w:val="right" w:pos="8306"/>
      </w:tabs>
      <w:snapToGrid w:val="0"/>
    </w:pPr>
    <w:rPr>
      <w:sz w:val="18"/>
      <w:szCs w:val="18"/>
    </w:rPr>
  </w:style>
  <w:style w:type="character" w:customStyle="1" w:styleId="a6">
    <w:name w:val="页脚 字符"/>
    <w:basedOn w:val="a0"/>
    <w:link w:val="a5"/>
    <w:uiPriority w:val="99"/>
    <w:rsid w:val="00905E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17050">
      <w:marLeft w:val="0"/>
      <w:marRight w:val="0"/>
      <w:marTop w:val="10"/>
      <w:marBottom w:val="10"/>
      <w:divBdr>
        <w:top w:val="none" w:sz="0" w:space="0" w:color="auto"/>
        <w:left w:val="none" w:sz="0" w:space="0" w:color="auto"/>
        <w:bottom w:val="none" w:sz="0" w:space="0" w:color="auto"/>
        <w:right w:val="none" w:sz="0" w:space="0" w:color="auto"/>
      </w:divBdr>
    </w:div>
    <w:div w:id="282157824">
      <w:marLeft w:val="0"/>
      <w:marRight w:val="0"/>
      <w:marTop w:val="10"/>
      <w:marBottom w:val="10"/>
      <w:divBdr>
        <w:top w:val="none" w:sz="0" w:space="0" w:color="auto"/>
        <w:left w:val="none" w:sz="0" w:space="0" w:color="auto"/>
        <w:bottom w:val="none" w:sz="0" w:space="0" w:color="auto"/>
        <w:right w:val="none" w:sz="0" w:space="0" w:color="auto"/>
      </w:divBdr>
    </w:div>
    <w:div w:id="366490294">
      <w:marLeft w:val="0"/>
      <w:marRight w:val="0"/>
      <w:marTop w:val="10"/>
      <w:marBottom w:val="10"/>
      <w:divBdr>
        <w:top w:val="none" w:sz="0" w:space="0" w:color="auto"/>
        <w:left w:val="none" w:sz="0" w:space="0" w:color="auto"/>
        <w:bottom w:val="none" w:sz="0" w:space="0" w:color="auto"/>
        <w:right w:val="none" w:sz="0" w:space="0" w:color="auto"/>
      </w:divBdr>
    </w:div>
    <w:div w:id="401102134">
      <w:marLeft w:val="0"/>
      <w:marRight w:val="0"/>
      <w:marTop w:val="10"/>
      <w:marBottom w:val="10"/>
      <w:divBdr>
        <w:top w:val="none" w:sz="0" w:space="0" w:color="auto"/>
        <w:left w:val="none" w:sz="0" w:space="0" w:color="auto"/>
        <w:bottom w:val="none" w:sz="0" w:space="0" w:color="auto"/>
        <w:right w:val="none" w:sz="0" w:space="0" w:color="auto"/>
      </w:divBdr>
    </w:div>
    <w:div w:id="413478615">
      <w:marLeft w:val="0"/>
      <w:marRight w:val="0"/>
      <w:marTop w:val="10"/>
      <w:marBottom w:val="10"/>
      <w:divBdr>
        <w:top w:val="none" w:sz="0" w:space="0" w:color="auto"/>
        <w:left w:val="none" w:sz="0" w:space="0" w:color="auto"/>
        <w:bottom w:val="none" w:sz="0" w:space="0" w:color="auto"/>
        <w:right w:val="none" w:sz="0" w:space="0" w:color="auto"/>
      </w:divBdr>
    </w:div>
    <w:div w:id="419376790">
      <w:marLeft w:val="0"/>
      <w:marRight w:val="0"/>
      <w:marTop w:val="10"/>
      <w:marBottom w:val="10"/>
      <w:divBdr>
        <w:top w:val="none" w:sz="0" w:space="0" w:color="auto"/>
        <w:left w:val="none" w:sz="0" w:space="0" w:color="auto"/>
        <w:bottom w:val="none" w:sz="0" w:space="0" w:color="auto"/>
        <w:right w:val="none" w:sz="0" w:space="0" w:color="auto"/>
      </w:divBdr>
    </w:div>
    <w:div w:id="474416336">
      <w:marLeft w:val="0"/>
      <w:marRight w:val="0"/>
      <w:marTop w:val="10"/>
      <w:marBottom w:val="10"/>
      <w:divBdr>
        <w:top w:val="none" w:sz="0" w:space="0" w:color="auto"/>
        <w:left w:val="none" w:sz="0" w:space="0" w:color="auto"/>
        <w:bottom w:val="none" w:sz="0" w:space="0" w:color="auto"/>
        <w:right w:val="none" w:sz="0" w:space="0" w:color="auto"/>
      </w:divBdr>
    </w:div>
    <w:div w:id="507911045">
      <w:marLeft w:val="0"/>
      <w:marRight w:val="0"/>
      <w:marTop w:val="10"/>
      <w:marBottom w:val="10"/>
      <w:divBdr>
        <w:top w:val="none" w:sz="0" w:space="0" w:color="auto"/>
        <w:left w:val="none" w:sz="0" w:space="0" w:color="auto"/>
        <w:bottom w:val="none" w:sz="0" w:space="0" w:color="auto"/>
        <w:right w:val="none" w:sz="0" w:space="0" w:color="auto"/>
      </w:divBdr>
    </w:div>
    <w:div w:id="528033452">
      <w:marLeft w:val="0"/>
      <w:marRight w:val="0"/>
      <w:marTop w:val="10"/>
      <w:marBottom w:val="10"/>
      <w:divBdr>
        <w:top w:val="none" w:sz="0" w:space="0" w:color="auto"/>
        <w:left w:val="none" w:sz="0" w:space="0" w:color="auto"/>
        <w:bottom w:val="none" w:sz="0" w:space="0" w:color="auto"/>
        <w:right w:val="none" w:sz="0" w:space="0" w:color="auto"/>
      </w:divBdr>
    </w:div>
    <w:div w:id="634918821">
      <w:marLeft w:val="0"/>
      <w:marRight w:val="0"/>
      <w:marTop w:val="10"/>
      <w:marBottom w:val="10"/>
      <w:divBdr>
        <w:top w:val="none" w:sz="0" w:space="0" w:color="auto"/>
        <w:left w:val="none" w:sz="0" w:space="0" w:color="auto"/>
        <w:bottom w:val="none" w:sz="0" w:space="0" w:color="auto"/>
        <w:right w:val="none" w:sz="0" w:space="0" w:color="auto"/>
      </w:divBdr>
    </w:div>
    <w:div w:id="689182391">
      <w:marLeft w:val="0"/>
      <w:marRight w:val="0"/>
      <w:marTop w:val="10"/>
      <w:marBottom w:val="10"/>
      <w:divBdr>
        <w:top w:val="none" w:sz="0" w:space="0" w:color="auto"/>
        <w:left w:val="none" w:sz="0" w:space="0" w:color="auto"/>
        <w:bottom w:val="none" w:sz="0" w:space="0" w:color="auto"/>
        <w:right w:val="none" w:sz="0" w:space="0" w:color="auto"/>
      </w:divBdr>
    </w:div>
    <w:div w:id="706682297">
      <w:marLeft w:val="0"/>
      <w:marRight w:val="720"/>
      <w:marTop w:val="10"/>
      <w:marBottom w:val="10"/>
      <w:divBdr>
        <w:top w:val="none" w:sz="0" w:space="0" w:color="auto"/>
        <w:left w:val="none" w:sz="0" w:space="0" w:color="auto"/>
        <w:bottom w:val="none" w:sz="0" w:space="0" w:color="auto"/>
        <w:right w:val="none" w:sz="0" w:space="0" w:color="auto"/>
      </w:divBdr>
    </w:div>
    <w:div w:id="798885054">
      <w:marLeft w:val="0"/>
      <w:marRight w:val="0"/>
      <w:marTop w:val="10"/>
      <w:marBottom w:val="10"/>
      <w:divBdr>
        <w:top w:val="none" w:sz="0" w:space="0" w:color="auto"/>
        <w:left w:val="none" w:sz="0" w:space="0" w:color="auto"/>
        <w:bottom w:val="none" w:sz="0" w:space="0" w:color="auto"/>
        <w:right w:val="none" w:sz="0" w:space="0" w:color="auto"/>
      </w:divBdr>
    </w:div>
    <w:div w:id="823547453">
      <w:marLeft w:val="0"/>
      <w:marRight w:val="0"/>
      <w:marTop w:val="10"/>
      <w:marBottom w:val="10"/>
      <w:divBdr>
        <w:top w:val="none" w:sz="0" w:space="0" w:color="auto"/>
        <w:left w:val="none" w:sz="0" w:space="0" w:color="auto"/>
        <w:bottom w:val="none" w:sz="0" w:space="0" w:color="auto"/>
        <w:right w:val="none" w:sz="0" w:space="0" w:color="auto"/>
      </w:divBdr>
    </w:div>
    <w:div w:id="827021397">
      <w:marLeft w:val="0"/>
      <w:marRight w:val="0"/>
      <w:marTop w:val="10"/>
      <w:marBottom w:val="10"/>
      <w:divBdr>
        <w:top w:val="none" w:sz="0" w:space="0" w:color="auto"/>
        <w:left w:val="none" w:sz="0" w:space="0" w:color="auto"/>
        <w:bottom w:val="none" w:sz="0" w:space="0" w:color="auto"/>
        <w:right w:val="none" w:sz="0" w:space="0" w:color="auto"/>
      </w:divBdr>
    </w:div>
    <w:div w:id="1212302926">
      <w:marLeft w:val="0"/>
      <w:marRight w:val="0"/>
      <w:marTop w:val="10"/>
      <w:marBottom w:val="10"/>
      <w:divBdr>
        <w:top w:val="none" w:sz="0" w:space="0" w:color="auto"/>
        <w:left w:val="none" w:sz="0" w:space="0" w:color="auto"/>
        <w:bottom w:val="none" w:sz="0" w:space="0" w:color="auto"/>
        <w:right w:val="none" w:sz="0" w:space="0" w:color="auto"/>
      </w:divBdr>
    </w:div>
    <w:div w:id="1262253904">
      <w:marLeft w:val="0"/>
      <w:marRight w:val="0"/>
      <w:marTop w:val="10"/>
      <w:marBottom w:val="10"/>
      <w:divBdr>
        <w:top w:val="none" w:sz="0" w:space="0" w:color="auto"/>
        <w:left w:val="none" w:sz="0" w:space="0" w:color="auto"/>
        <w:bottom w:val="none" w:sz="0" w:space="0" w:color="auto"/>
        <w:right w:val="none" w:sz="0" w:space="0" w:color="auto"/>
      </w:divBdr>
    </w:div>
    <w:div w:id="1309093403">
      <w:marLeft w:val="0"/>
      <w:marRight w:val="0"/>
      <w:marTop w:val="10"/>
      <w:marBottom w:val="10"/>
      <w:divBdr>
        <w:top w:val="none" w:sz="0" w:space="0" w:color="auto"/>
        <w:left w:val="none" w:sz="0" w:space="0" w:color="auto"/>
        <w:bottom w:val="none" w:sz="0" w:space="0" w:color="auto"/>
        <w:right w:val="none" w:sz="0" w:space="0" w:color="auto"/>
      </w:divBdr>
    </w:div>
    <w:div w:id="1339187869">
      <w:marLeft w:val="0"/>
      <w:marRight w:val="0"/>
      <w:marTop w:val="10"/>
      <w:marBottom w:val="10"/>
      <w:divBdr>
        <w:top w:val="none" w:sz="0" w:space="0" w:color="auto"/>
        <w:left w:val="none" w:sz="0" w:space="0" w:color="auto"/>
        <w:bottom w:val="none" w:sz="0" w:space="0" w:color="auto"/>
        <w:right w:val="none" w:sz="0" w:space="0" w:color="auto"/>
      </w:divBdr>
    </w:div>
    <w:div w:id="1362978554">
      <w:marLeft w:val="0"/>
      <w:marRight w:val="0"/>
      <w:marTop w:val="10"/>
      <w:marBottom w:val="10"/>
      <w:divBdr>
        <w:top w:val="none" w:sz="0" w:space="0" w:color="auto"/>
        <w:left w:val="none" w:sz="0" w:space="0" w:color="auto"/>
        <w:bottom w:val="none" w:sz="0" w:space="0" w:color="auto"/>
        <w:right w:val="none" w:sz="0" w:space="0" w:color="auto"/>
      </w:divBdr>
    </w:div>
    <w:div w:id="1412000362">
      <w:marLeft w:val="0"/>
      <w:marRight w:val="0"/>
      <w:marTop w:val="10"/>
      <w:marBottom w:val="10"/>
      <w:divBdr>
        <w:top w:val="none" w:sz="0" w:space="0" w:color="auto"/>
        <w:left w:val="none" w:sz="0" w:space="0" w:color="auto"/>
        <w:bottom w:val="none" w:sz="0" w:space="0" w:color="auto"/>
        <w:right w:val="none" w:sz="0" w:space="0" w:color="auto"/>
      </w:divBdr>
    </w:div>
    <w:div w:id="1433404580">
      <w:marLeft w:val="0"/>
      <w:marRight w:val="0"/>
      <w:marTop w:val="10"/>
      <w:marBottom w:val="10"/>
      <w:divBdr>
        <w:top w:val="none" w:sz="0" w:space="0" w:color="auto"/>
        <w:left w:val="none" w:sz="0" w:space="0" w:color="auto"/>
        <w:bottom w:val="none" w:sz="0" w:space="0" w:color="auto"/>
        <w:right w:val="none" w:sz="0" w:space="0" w:color="auto"/>
      </w:divBdr>
    </w:div>
    <w:div w:id="1454596887">
      <w:marLeft w:val="0"/>
      <w:marRight w:val="0"/>
      <w:marTop w:val="10"/>
      <w:marBottom w:val="10"/>
      <w:divBdr>
        <w:top w:val="none" w:sz="0" w:space="0" w:color="auto"/>
        <w:left w:val="none" w:sz="0" w:space="0" w:color="auto"/>
        <w:bottom w:val="none" w:sz="0" w:space="0" w:color="auto"/>
        <w:right w:val="none" w:sz="0" w:space="0" w:color="auto"/>
      </w:divBdr>
    </w:div>
    <w:div w:id="1498229061">
      <w:marLeft w:val="0"/>
      <w:marRight w:val="720"/>
      <w:marTop w:val="10"/>
      <w:marBottom w:val="10"/>
      <w:divBdr>
        <w:top w:val="none" w:sz="0" w:space="0" w:color="auto"/>
        <w:left w:val="none" w:sz="0" w:space="0" w:color="auto"/>
        <w:bottom w:val="none" w:sz="0" w:space="0" w:color="auto"/>
        <w:right w:val="none" w:sz="0" w:space="0" w:color="auto"/>
      </w:divBdr>
    </w:div>
    <w:div w:id="1571454234">
      <w:marLeft w:val="0"/>
      <w:marRight w:val="720"/>
      <w:marTop w:val="10"/>
      <w:marBottom w:val="10"/>
      <w:divBdr>
        <w:top w:val="none" w:sz="0" w:space="0" w:color="auto"/>
        <w:left w:val="none" w:sz="0" w:space="0" w:color="auto"/>
        <w:bottom w:val="none" w:sz="0" w:space="0" w:color="auto"/>
        <w:right w:val="none" w:sz="0" w:space="0" w:color="auto"/>
      </w:divBdr>
    </w:div>
    <w:div w:id="1651641161">
      <w:marLeft w:val="0"/>
      <w:marRight w:val="720"/>
      <w:marTop w:val="10"/>
      <w:marBottom w:val="10"/>
      <w:divBdr>
        <w:top w:val="none" w:sz="0" w:space="0" w:color="auto"/>
        <w:left w:val="none" w:sz="0" w:space="0" w:color="auto"/>
        <w:bottom w:val="none" w:sz="0" w:space="0" w:color="auto"/>
        <w:right w:val="none" w:sz="0" w:space="0" w:color="auto"/>
      </w:divBdr>
    </w:div>
    <w:div w:id="1791780833">
      <w:marLeft w:val="0"/>
      <w:marRight w:val="0"/>
      <w:marTop w:val="10"/>
      <w:marBottom w:val="10"/>
      <w:divBdr>
        <w:top w:val="none" w:sz="0" w:space="0" w:color="auto"/>
        <w:left w:val="none" w:sz="0" w:space="0" w:color="auto"/>
        <w:bottom w:val="none" w:sz="0" w:space="0" w:color="auto"/>
        <w:right w:val="none" w:sz="0" w:space="0" w:color="auto"/>
      </w:divBdr>
    </w:div>
    <w:div w:id="1866363723">
      <w:marLeft w:val="0"/>
      <w:marRight w:val="720"/>
      <w:marTop w:val="10"/>
      <w:marBottom w:val="10"/>
      <w:divBdr>
        <w:top w:val="none" w:sz="0" w:space="0" w:color="auto"/>
        <w:left w:val="none" w:sz="0" w:space="0" w:color="auto"/>
        <w:bottom w:val="none" w:sz="0" w:space="0" w:color="auto"/>
        <w:right w:val="none" w:sz="0" w:space="0" w:color="auto"/>
      </w:divBdr>
    </w:div>
    <w:div w:id="1897624805">
      <w:marLeft w:val="0"/>
      <w:marRight w:val="0"/>
      <w:marTop w:val="10"/>
      <w:marBottom w:val="10"/>
      <w:divBdr>
        <w:top w:val="none" w:sz="0" w:space="0" w:color="auto"/>
        <w:left w:val="none" w:sz="0" w:space="0" w:color="auto"/>
        <w:bottom w:val="none" w:sz="0" w:space="0" w:color="auto"/>
        <w:right w:val="none" w:sz="0" w:space="0" w:color="auto"/>
      </w:divBdr>
    </w:div>
    <w:div w:id="1926381366">
      <w:marLeft w:val="0"/>
      <w:marRight w:val="0"/>
      <w:marTop w:val="10"/>
      <w:marBottom w:val="10"/>
      <w:divBdr>
        <w:top w:val="none" w:sz="0" w:space="0" w:color="auto"/>
        <w:left w:val="none" w:sz="0" w:space="0" w:color="auto"/>
        <w:bottom w:val="none" w:sz="0" w:space="0" w:color="auto"/>
        <w:right w:val="none" w:sz="0" w:space="0" w:color="auto"/>
      </w:divBdr>
    </w:div>
    <w:div w:id="1959339012">
      <w:marLeft w:val="0"/>
      <w:marRight w:val="0"/>
      <w:marTop w:val="10"/>
      <w:marBottom w:val="10"/>
      <w:divBdr>
        <w:top w:val="none" w:sz="0" w:space="0" w:color="auto"/>
        <w:left w:val="none" w:sz="0" w:space="0" w:color="auto"/>
        <w:bottom w:val="none" w:sz="0" w:space="0" w:color="auto"/>
        <w:right w:val="none" w:sz="0" w:space="0" w:color="auto"/>
      </w:divBdr>
    </w:div>
    <w:div w:id="1990205272">
      <w:marLeft w:val="0"/>
      <w:marRight w:val="0"/>
      <w:marTop w:val="10"/>
      <w:marBottom w:val="10"/>
      <w:divBdr>
        <w:top w:val="none" w:sz="0" w:space="0" w:color="auto"/>
        <w:left w:val="none" w:sz="0" w:space="0" w:color="auto"/>
        <w:bottom w:val="none" w:sz="0" w:space="0" w:color="auto"/>
        <w:right w:val="none" w:sz="0" w:space="0" w:color="auto"/>
      </w:divBdr>
    </w:div>
    <w:div w:id="2069187619">
      <w:marLeft w:val="0"/>
      <w:marRight w:val="0"/>
      <w:marTop w:val="10"/>
      <w:marBottom w:val="10"/>
      <w:divBdr>
        <w:top w:val="none" w:sz="0" w:space="0" w:color="auto"/>
        <w:left w:val="none" w:sz="0" w:space="0" w:color="auto"/>
        <w:bottom w:val="none" w:sz="0" w:space="0" w:color="auto"/>
        <w:right w:val="none" w:sz="0" w:space="0" w:color="auto"/>
      </w:divBdr>
    </w:div>
    <w:div w:id="20748897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3584</Characters>
  <Application>Microsoft Office Word</Application>
  <DocSecurity>0</DocSecurity>
  <Lines>29</Lines>
  <Paragraphs>8</Paragraphs>
  <ScaleCrop>false</ScaleCrop>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2025-04-30T06:31:00Z</dcterms:created>
  <dcterms:modified xsi:type="dcterms:W3CDTF">2025-04-30T06:31:00Z</dcterms:modified>
</cp:coreProperties>
</file>