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7106" w14:textId="77777777" w:rsidR="00FA124A" w:rsidRDefault="00FA124A">
      <w:pPr>
        <w:spacing w:line="500" w:lineRule="atLeast"/>
        <w:jc w:val="center"/>
        <w:divId w:val="1601797705"/>
        <w:rPr>
          <w:rFonts w:ascii="黑体" w:eastAsia="黑体" w:hAnsi="黑体"/>
          <w:sz w:val="36"/>
          <w:szCs w:val="36"/>
        </w:rPr>
      </w:pPr>
      <w:r>
        <w:rPr>
          <w:rFonts w:ascii="黑体" w:eastAsia="黑体" w:hAnsi="黑体" w:hint="eastAsia"/>
          <w:sz w:val="36"/>
          <w:szCs w:val="36"/>
        </w:rPr>
        <w:t>广东省广州市番禺区人民法院</w:t>
      </w:r>
    </w:p>
    <w:p w14:paraId="4B4EB93D" w14:textId="77777777" w:rsidR="00FA124A" w:rsidRDefault="00FA124A">
      <w:pPr>
        <w:spacing w:line="500" w:lineRule="atLeast"/>
        <w:jc w:val="center"/>
        <w:divId w:val="1974554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252CA2" w14:textId="77777777" w:rsidR="00FA124A" w:rsidRDefault="00FA124A">
      <w:pPr>
        <w:spacing w:line="500" w:lineRule="atLeast"/>
        <w:jc w:val="right"/>
        <w:divId w:val="2544387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10</w:t>
      </w:r>
      <w:r>
        <w:rPr>
          <w:rFonts w:hint="eastAsia"/>
          <w:sz w:val="30"/>
          <w:szCs w:val="30"/>
        </w:rPr>
        <w:t>号</w:t>
      </w:r>
    </w:p>
    <w:p w14:paraId="7B2E03A9" w14:textId="77777777" w:rsidR="00FA124A" w:rsidRDefault="00FA124A">
      <w:pPr>
        <w:spacing w:line="500" w:lineRule="atLeast"/>
        <w:ind w:firstLine="600"/>
        <w:divId w:val="738749422"/>
        <w:rPr>
          <w:rFonts w:hint="eastAsia"/>
          <w:sz w:val="30"/>
          <w:szCs w:val="30"/>
        </w:rPr>
      </w:pPr>
      <w:r>
        <w:rPr>
          <w:rFonts w:hint="eastAsia"/>
          <w:sz w:val="30"/>
          <w:szCs w:val="30"/>
        </w:rPr>
        <w:t>公诉机关广州市番禺区人民检察院。</w:t>
      </w:r>
    </w:p>
    <w:p w14:paraId="2F4F6F2B" w14:textId="77777777" w:rsidR="00FA124A" w:rsidRDefault="00FA124A">
      <w:pPr>
        <w:spacing w:line="500" w:lineRule="atLeast"/>
        <w:ind w:firstLine="600"/>
        <w:divId w:val="573977205"/>
        <w:rPr>
          <w:rFonts w:hint="eastAsia"/>
          <w:sz w:val="30"/>
          <w:szCs w:val="30"/>
        </w:rPr>
      </w:pPr>
      <w:r>
        <w:rPr>
          <w:rFonts w:hint="eastAsia"/>
          <w:sz w:val="30"/>
          <w:szCs w:val="30"/>
        </w:rPr>
        <w:t>被告人曾某甲，住广州市萝岗区。因本案于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14</w:t>
      </w:r>
      <w:r>
        <w:rPr>
          <w:rFonts w:hint="eastAsia"/>
          <w:sz w:val="30"/>
          <w:szCs w:val="30"/>
        </w:rPr>
        <w:t>日被逮捕。现押于广州市番禺区看守所。</w:t>
      </w:r>
    </w:p>
    <w:p w14:paraId="1568995E" w14:textId="77777777" w:rsidR="00FA124A" w:rsidRDefault="00FA124A">
      <w:pPr>
        <w:spacing w:line="500" w:lineRule="atLeast"/>
        <w:ind w:firstLine="600"/>
        <w:divId w:val="914322892"/>
        <w:rPr>
          <w:rFonts w:hint="eastAsia"/>
          <w:sz w:val="30"/>
          <w:szCs w:val="30"/>
        </w:rPr>
      </w:pPr>
      <w:r>
        <w:rPr>
          <w:rFonts w:hint="eastAsia"/>
          <w:sz w:val="30"/>
          <w:szCs w:val="30"/>
        </w:rPr>
        <w:t>辩护人关展来，广东联合发展律师事务所律师。</w:t>
      </w:r>
    </w:p>
    <w:p w14:paraId="68D06F55" w14:textId="77777777" w:rsidR="00FA124A" w:rsidRDefault="00FA124A">
      <w:pPr>
        <w:spacing w:line="500" w:lineRule="atLeast"/>
        <w:ind w:firstLine="600"/>
        <w:divId w:val="104552248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1314</w:t>
      </w:r>
      <w:r>
        <w:rPr>
          <w:rFonts w:hint="eastAsia"/>
          <w:sz w:val="30"/>
          <w:szCs w:val="30"/>
        </w:rPr>
        <w:t>号起诉书指控被告人曾某甲犯受贿罪，于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2014</w:t>
      </w:r>
      <w:r>
        <w:rPr>
          <w:rFonts w:hint="eastAsia"/>
          <w:sz w:val="30"/>
          <w:szCs w:val="30"/>
        </w:rPr>
        <w:t>）穗番法刑初字第</w:t>
      </w:r>
      <w:r>
        <w:rPr>
          <w:rFonts w:hint="eastAsia"/>
          <w:sz w:val="30"/>
          <w:szCs w:val="30"/>
        </w:rPr>
        <w:t>1684</w:t>
      </w:r>
      <w:r>
        <w:rPr>
          <w:rFonts w:hint="eastAsia"/>
          <w:sz w:val="30"/>
          <w:szCs w:val="30"/>
        </w:rPr>
        <w:t>号刑事判决书。判决后，被告人曾某甲不服判决并向广州市中级人民法院提出上诉，广州市中级人民法院经审理后于同年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日以（</w:t>
      </w:r>
      <w:r>
        <w:rPr>
          <w:rFonts w:hint="eastAsia"/>
          <w:sz w:val="30"/>
          <w:szCs w:val="30"/>
        </w:rPr>
        <w:t>2015</w:t>
      </w:r>
      <w:r>
        <w:rPr>
          <w:rFonts w:hint="eastAsia"/>
          <w:sz w:val="30"/>
          <w:szCs w:val="30"/>
        </w:rPr>
        <w:t>）穗中法刑二终字第</w:t>
      </w:r>
      <w:r>
        <w:rPr>
          <w:rFonts w:hint="eastAsia"/>
          <w:sz w:val="30"/>
          <w:szCs w:val="30"/>
        </w:rPr>
        <w:t>528</w:t>
      </w:r>
      <w:r>
        <w:rPr>
          <w:rFonts w:hint="eastAsia"/>
          <w:sz w:val="30"/>
          <w:szCs w:val="30"/>
        </w:rPr>
        <w:t>号刑事裁定书裁定撤销本院原判决，将本案发回本院重新审判。本院于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日立案受理后，另行组成合议庭，公开开庭审理了本案。广州市番禺区人民检察院指派检察员梁伟康、陈小敏出庭支持公诉，被告人曾某甲及辩护人关展来到庭参加了诉讼。本案经延期审理，现已审理终结。</w:t>
      </w:r>
    </w:p>
    <w:p w14:paraId="1F4BF4F6" w14:textId="77777777" w:rsidR="00FA124A" w:rsidRDefault="00FA124A">
      <w:pPr>
        <w:spacing w:line="500" w:lineRule="atLeast"/>
        <w:ind w:firstLine="600"/>
        <w:divId w:val="771362315"/>
        <w:rPr>
          <w:rFonts w:hint="eastAsia"/>
          <w:sz w:val="30"/>
          <w:szCs w:val="30"/>
        </w:rPr>
      </w:pPr>
      <w:r>
        <w:rPr>
          <w:rFonts w:hint="eastAsia"/>
          <w:sz w:val="30"/>
          <w:szCs w:val="30"/>
        </w:rPr>
        <w:t>广州市番禺区人民检察院指控，</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曾某甲担任广州市燃气公司（现已更名为广州市燃气集团有限公司）工程管理部办事员期间，在负责办理位于本区化龙镇眉山村名为“广州市天然气利用工程金市路分输站”工程的规划选址、征地等工作的过程中，利用其职务便利，向该工程项目的承建商伍某章（另案处理）泄露工程选址、征地及相关工程项目等信息，并分两次收受伍某章贿送的款项人民币</w:t>
      </w:r>
      <w:r>
        <w:rPr>
          <w:rFonts w:hint="eastAsia"/>
          <w:sz w:val="30"/>
          <w:szCs w:val="30"/>
        </w:rPr>
        <w:t>3</w:t>
      </w:r>
      <w:r>
        <w:rPr>
          <w:rFonts w:hint="eastAsia"/>
          <w:sz w:val="30"/>
          <w:szCs w:val="30"/>
        </w:rPr>
        <w:t>万元</w:t>
      </w:r>
      <w:r>
        <w:rPr>
          <w:rFonts w:hint="eastAsia"/>
          <w:sz w:val="30"/>
          <w:szCs w:val="30"/>
        </w:rPr>
        <w:lastRenderedPageBreak/>
        <w:t>和人民币</w:t>
      </w:r>
      <w:r>
        <w:rPr>
          <w:rFonts w:hint="eastAsia"/>
          <w:sz w:val="30"/>
          <w:szCs w:val="30"/>
        </w:rPr>
        <w:t>12</w:t>
      </w:r>
      <w:r>
        <w:rPr>
          <w:rFonts w:hint="eastAsia"/>
          <w:sz w:val="30"/>
          <w:szCs w:val="30"/>
        </w:rPr>
        <w:t>万元。公诉机关并就其指控的事实向本院提供了证人证言、书证材料、任职证明、被告人供述等证据。公诉机关认为，被告人曾某甲身为国家工作人员，无视国家法律，利用职务上的便利，非法收受他人财物，为他人谋取利益，其行为触犯了《中华人民共和国刑法》第三百八十五条之规定，犯罪事实清楚，证据确实、充分，应当以受贿罪追究其刑事责任。提请本院依法判处。</w:t>
      </w:r>
    </w:p>
    <w:p w14:paraId="4001361E" w14:textId="77777777" w:rsidR="00FA124A" w:rsidRDefault="00FA124A">
      <w:pPr>
        <w:spacing w:line="500" w:lineRule="atLeast"/>
        <w:ind w:firstLine="600"/>
        <w:divId w:val="1483541675"/>
        <w:rPr>
          <w:rFonts w:hint="eastAsia"/>
          <w:sz w:val="30"/>
          <w:szCs w:val="30"/>
        </w:rPr>
      </w:pPr>
      <w:r>
        <w:rPr>
          <w:rFonts w:hint="eastAsia"/>
          <w:sz w:val="30"/>
          <w:szCs w:val="30"/>
        </w:rPr>
        <w:t>被告人曾某甲承认控罪。</w:t>
      </w:r>
    </w:p>
    <w:p w14:paraId="0985F1F2" w14:textId="77777777" w:rsidR="00FA124A" w:rsidRDefault="00FA124A">
      <w:pPr>
        <w:spacing w:line="500" w:lineRule="atLeast"/>
        <w:ind w:firstLine="600"/>
        <w:divId w:val="125515743"/>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、被告人曾某甲受贿数额不属于巨大；</w:t>
      </w:r>
      <w:r>
        <w:rPr>
          <w:rFonts w:hint="eastAsia"/>
          <w:sz w:val="30"/>
          <w:szCs w:val="30"/>
        </w:rPr>
        <w:t>2</w:t>
      </w:r>
      <w:r>
        <w:rPr>
          <w:rFonts w:hint="eastAsia"/>
          <w:sz w:val="30"/>
          <w:szCs w:val="30"/>
        </w:rPr>
        <w:t>、被告人有如实供述的情节；</w:t>
      </w:r>
      <w:r>
        <w:rPr>
          <w:rFonts w:hint="eastAsia"/>
          <w:sz w:val="30"/>
          <w:szCs w:val="30"/>
        </w:rPr>
        <w:t>3</w:t>
      </w:r>
      <w:r>
        <w:rPr>
          <w:rFonts w:hint="eastAsia"/>
          <w:sz w:val="30"/>
          <w:szCs w:val="30"/>
        </w:rPr>
        <w:t>、被告人曾某甲是初犯；</w:t>
      </w:r>
      <w:r>
        <w:rPr>
          <w:rFonts w:hint="eastAsia"/>
          <w:sz w:val="30"/>
          <w:szCs w:val="30"/>
        </w:rPr>
        <w:t>4</w:t>
      </w:r>
      <w:r>
        <w:rPr>
          <w:rFonts w:hint="eastAsia"/>
          <w:sz w:val="30"/>
          <w:szCs w:val="30"/>
        </w:rPr>
        <w:t>、被告人曾某甲在案发后已主动退回赃款，认罪、悔罪态度诚恳；建议对被告人从轻处罚。</w:t>
      </w:r>
    </w:p>
    <w:p w14:paraId="729F8A9B" w14:textId="77777777" w:rsidR="00FA124A" w:rsidRDefault="00FA124A">
      <w:pPr>
        <w:spacing w:line="500" w:lineRule="atLeast"/>
        <w:ind w:firstLine="600"/>
        <w:divId w:val="513178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曾某甲担任广州市燃气公司（现已更名为广州市燃气集团有限公司）工程管理部办事员期间，在负责办理位于本区化龙镇眉山村名为“广州市天然气利用工程金市路分输站”工程的规划选址、征地等工作的过程中，利用其职务便利，向该工程项目的承建商伍某章（另案处理）泄露工程选址、征地及相关工程项目等信息，并分两次收受伍某章贿送的款项人民币</w:t>
      </w:r>
      <w:r>
        <w:rPr>
          <w:rFonts w:hint="eastAsia"/>
          <w:sz w:val="30"/>
          <w:szCs w:val="30"/>
        </w:rPr>
        <w:t>3</w:t>
      </w:r>
      <w:r>
        <w:rPr>
          <w:rFonts w:hint="eastAsia"/>
          <w:sz w:val="30"/>
          <w:szCs w:val="30"/>
        </w:rPr>
        <w:t>万元和人民币</w:t>
      </w:r>
      <w:r>
        <w:rPr>
          <w:rFonts w:hint="eastAsia"/>
          <w:sz w:val="30"/>
          <w:szCs w:val="30"/>
        </w:rPr>
        <w:t>12</w:t>
      </w:r>
      <w:r>
        <w:rPr>
          <w:rFonts w:hint="eastAsia"/>
          <w:sz w:val="30"/>
          <w:szCs w:val="30"/>
        </w:rPr>
        <w:t>万元。</w:t>
      </w:r>
    </w:p>
    <w:p w14:paraId="6D955743" w14:textId="77777777" w:rsidR="00FA124A" w:rsidRDefault="00FA124A">
      <w:pPr>
        <w:spacing w:line="500" w:lineRule="atLeast"/>
        <w:ind w:firstLine="600"/>
        <w:divId w:val="1704868127"/>
        <w:rPr>
          <w:rFonts w:hint="eastAsia"/>
          <w:sz w:val="30"/>
          <w:szCs w:val="30"/>
        </w:rPr>
      </w:pPr>
      <w:r>
        <w:rPr>
          <w:rFonts w:hint="eastAsia"/>
          <w:sz w:val="30"/>
          <w:szCs w:val="30"/>
        </w:rPr>
        <w:t>另查明，案发后被告人曾某甲已退出赃款人民币</w:t>
      </w:r>
      <w:r>
        <w:rPr>
          <w:rFonts w:hint="eastAsia"/>
          <w:sz w:val="30"/>
          <w:szCs w:val="30"/>
        </w:rPr>
        <w:t>15</w:t>
      </w:r>
      <w:r>
        <w:rPr>
          <w:rFonts w:hint="eastAsia"/>
          <w:sz w:val="30"/>
          <w:szCs w:val="30"/>
        </w:rPr>
        <w:t>万元。</w:t>
      </w:r>
    </w:p>
    <w:p w14:paraId="1541A864" w14:textId="77777777" w:rsidR="00FA124A" w:rsidRDefault="00FA124A">
      <w:pPr>
        <w:spacing w:line="500" w:lineRule="atLeast"/>
        <w:ind w:firstLine="600"/>
        <w:divId w:val="1758407047"/>
        <w:rPr>
          <w:rFonts w:hint="eastAsia"/>
          <w:sz w:val="30"/>
          <w:szCs w:val="30"/>
        </w:rPr>
      </w:pPr>
      <w:r>
        <w:rPr>
          <w:rFonts w:hint="eastAsia"/>
          <w:sz w:val="30"/>
          <w:szCs w:val="30"/>
        </w:rPr>
        <w:t>上述事实，被告人曾某甲在开庭审理过程中并无异议，且有破案经过，广州燃气集团有限公司出具的被告人曾某甲的任职情况及该公司的企业注册基本资料、企业改制登记申请书、股权划转的股东决议等，广州市天然气利用工程外围高压管线工程金市路阀室（分输站）征地、安置补偿协议书、广州市天然气利用工程外围高压管线工程金市路阀室分输站（进出站道路）用地补偿协议书，退款收据，行贿人伍某章的供述、证人苏某、李某、曾某乙的证言以及被告人曾某甲的供述等证据证实，足以认定。</w:t>
      </w:r>
    </w:p>
    <w:p w14:paraId="12E5D255" w14:textId="77777777" w:rsidR="00FA124A" w:rsidRDefault="00FA124A">
      <w:pPr>
        <w:spacing w:line="500" w:lineRule="atLeast"/>
        <w:ind w:firstLine="600"/>
        <w:divId w:val="645202480"/>
        <w:rPr>
          <w:rFonts w:hint="eastAsia"/>
          <w:sz w:val="30"/>
          <w:szCs w:val="30"/>
        </w:rPr>
      </w:pPr>
      <w:r>
        <w:rPr>
          <w:rFonts w:hint="eastAsia"/>
          <w:sz w:val="30"/>
          <w:szCs w:val="30"/>
        </w:rPr>
        <w:t>本院认为，被告人曾某甲无视国家法律，身为国家工作人员，利用职务便利，非法收受他人财物，其行为已构成受贿罪。被告人曾某甲受贿数额达</w:t>
      </w:r>
      <w:r>
        <w:rPr>
          <w:rFonts w:hint="eastAsia"/>
          <w:sz w:val="30"/>
          <w:szCs w:val="30"/>
        </w:rPr>
        <w:t>15</w:t>
      </w:r>
      <w:r>
        <w:rPr>
          <w:rFonts w:hint="eastAsia"/>
          <w:sz w:val="30"/>
          <w:szCs w:val="30"/>
        </w:rPr>
        <w:t>万元，依法应当对其适用“三年以下有期徒刑或拘役”的量刑幅度予以处罚。公诉机关指控被告人曾某甲犯受贿罪事实清楚，证据确实充分，指控罪名成立。被告人曾某甲当庭自愿认罪，可以酌情从轻处罚。辩护人以被告人是初犯、悔罪态度好且主动退回赃款等为由建议对被告人从轻处罚的意见有理，本院予以采纳。本院根据前述法定刑幅度、法定及酌定的量刑情节，并综合考虑被告人作案的具体事实、认罪态度等因素确定宣告刑。依照《中华人民共和国刑法》第三百八十五条第一款、第三百八十六条、第三百八十三条第一款第（一）项、第六十四条、《最高人民法院、最高人民检察院关于办理贪污贿赂刑事案件适用法律若干问题的解释》第一条第一款的规定，判决如下：</w:t>
      </w:r>
    </w:p>
    <w:p w14:paraId="15C2BDBB" w14:textId="77777777" w:rsidR="00FA124A" w:rsidRDefault="00FA124A">
      <w:pPr>
        <w:spacing w:line="500" w:lineRule="atLeast"/>
        <w:ind w:firstLine="600"/>
        <w:divId w:val="59208979"/>
        <w:rPr>
          <w:rFonts w:hint="eastAsia"/>
          <w:sz w:val="30"/>
          <w:szCs w:val="30"/>
        </w:rPr>
      </w:pPr>
      <w:r>
        <w:rPr>
          <w:rFonts w:hint="eastAsia"/>
          <w:sz w:val="30"/>
          <w:szCs w:val="30"/>
        </w:rPr>
        <w:t>一、被告人曾某甲犯受贿罪，判处有期徒刑二年四个月，并处罚金十万元。</w:t>
      </w:r>
    </w:p>
    <w:p w14:paraId="6AF560E9" w14:textId="77777777" w:rsidR="00FA124A" w:rsidRDefault="00FA124A">
      <w:pPr>
        <w:spacing w:line="500" w:lineRule="atLeast"/>
        <w:ind w:firstLine="600"/>
        <w:divId w:val="1919167472"/>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日止；罚金于本判决发生法律效力次日起十日内缴纳，上缴国库。）</w:t>
      </w:r>
    </w:p>
    <w:p w14:paraId="6293AA67" w14:textId="77777777" w:rsidR="00FA124A" w:rsidRDefault="00FA124A">
      <w:pPr>
        <w:spacing w:line="500" w:lineRule="atLeast"/>
        <w:ind w:firstLine="600"/>
        <w:divId w:val="1046028244"/>
        <w:rPr>
          <w:rFonts w:hint="eastAsia"/>
          <w:sz w:val="30"/>
          <w:szCs w:val="30"/>
        </w:rPr>
      </w:pPr>
      <w:r>
        <w:rPr>
          <w:rFonts w:hint="eastAsia"/>
          <w:sz w:val="30"/>
          <w:szCs w:val="30"/>
        </w:rPr>
        <w:t>二、被告人曾某甲受贿的犯罪所得人民币</w:t>
      </w:r>
      <w:r>
        <w:rPr>
          <w:rFonts w:hint="eastAsia"/>
          <w:sz w:val="30"/>
          <w:szCs w:val="30"/>
        </w:rPr>
        <w:t>15</w:t>
      </w:r>
      <w:r>
        <w:rPr>
          <w:rFonts w:hint="eastAsia"/>
          <w:sz w:val="30"/>
          <w:szCs w:val="30"/>
        </w:rPr>
        <w:t>万元，予以没收，上缴国库（该款暂存于广州市番禺区人民法院）。</w:t>
      </w:r>
    </w:p>
    <w:p w14:paraId="55FD10A7" w14:textId="77777777" w:rsidR="00FA124A" w:rsidRDefault="00FA124A">
      <w:pPr>
        <w:spacing w:line="500" w:lineRule="atLeast"/>
        <w:ind w:firstLine="600"/>
        <w:divId w:val="3327990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874AB56" w14:textId="77777777" w:rsidR="00FA124A" w:rsidRDefault="00FA124A">
      <w:pPr>
        <w:spacing w:line="500" w:lineRule="atLeast"/>
        <w:jc w:val="right"/>
        <w:divId w:val="671493750"/>
        <w:rPr>
          <w:rFonts w:hint="eastAsia"/>
          <w:sz w:val="30"/>
          <w:szCs w:val="30"/>
        </w:rPr>
      </w:pPr>
      <w:r>
        <w:rPr>
          <w:rFonts w:hint="eastAsia"/>
          <w:sz w:val="30"/>
          <w:szCs w:val="30"/>
        </w:rPr>
        <w:t>审　判　长　　段培哲</w:t>
      </w:r>
    </w:p>
    <w:p w14:paraId="5EDDE5D2" w14:textId="77777777" w:rsidR="00FA124A" w:rsidRDefault="00FA124A">
      <w:pPr>
        <w:spacing w:line="500" w:lineRule="atLeast"/>
        <w:jc w:val="right"/>
        <w:divId w:val="1958751301"/>
        <w:rPr>
          <w:rFonts w:hint="eastAsia"/>
          <w:sz w:val="30"/>
          <w:szCs w:val="30"/>
        </w:rPr>
      </w:pPr>
      <w:r>
        <w:rPr>
          <w:rFonts w:hint="eastAsia"/>
          <w:sz w:val="30"/>
          <w:szCs w:val="30"/>
        </w:rPr>
        <w:t>人民陪审员　　谭菲映</w:t>
      </w:r>
    </w:p>
    <w:p w14:paraId="01C6927E" w14:textId="77777777" w:rsidR="00FA124A" w:rsidRDefault="00FA124A">
      <w:pPr>
        <w:spacing w:line="500" w:lineRule="atLeast"/>
        <w:jc w:val="right"/>
        <w:divId w:val="1820224715"/>
        <w:rPr>
          <w:rFonts w:hint="eastAsia"/>
          <w:sz w:val="30"/>
          <w:szCs w:val="30"/>
        </w:rPr>
      </w:pPr>
      <w:r>
        <w:rPr>
          <w:rFonts w:hint="eastAsia"/>
          <w:sz w:val="30"/>
          <w:szCs w:val="30"/>
        </w:rPr>
        <w:t>人民陪审员　　朱杏梅</w:t>
      </w:r>
    </w:p>
    <w:p w14:paraId="39EEA026" w14:textId="77777777" w:rsidR="00FA124A" w:rsidRDefault="00FA124A">
      <w:pPr>
        <w:spacing w:line="500" w:lineRule="atLeast"/>
        <w:jc w:val="right"/>
        <w:divId w:val="1306470707"/>
        <w:rPr>
          <w:rFonts w:hint="eastAsia"/>
          <w:sz w:val="30"/>
          <w:szCs w:val="30"/>
        </w:rPr>
      </w:pPr>
      <w:r>
        <w:rPr>
          <w:rFonts w:hint="eastAsia"/>
          <w:sz w:val="30"/>
          <w:szCs w:val="30"/>
        </w:rPr>
        <w:t>二〇一六年六月十六日</w:t>
      </w:r>
    </w:p>
    <w:p w14:paraId="1282AA60" w14:textId="77777777" w:rsidR="00FA124A" w:rsidRDefault="00FA124A">
      <w:pPr>
        <w:spacing w:line="500" w:lineRule="atLeast"/>
        <w:jc w:val="right"/>
        <w:divId w:val="626938561"/>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65502" w14:textId="77777777" w:rsidR="00D87FBE" w:rsidRDefault="00D87FBE" w:rsidP="00D87FBE">
      <w:pPr>
        <w:rPr>
          <w:rFonts w:hint="eastAsia"/>
        </w:rPr>
      </w:pPr>
      <w:r>
        <w:separator/>
      </w:r>
    </w:p>
  </w:endnote>
  <w:endnote w:type="continuationSeparator" w:id="0">
    <w:p w14:paraId="600A0C2C" w14:textId="77777777" w:rsidR="00D87FBE" w:rsidRDefault="00D87FBE" w:rsidP="00D87F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69294" w14:textId="77777777" w:rsidR="00D87FBE" w:rsidRDefault="00D87FBE" w:rsidP="00D87FBE">
      <w:pPr>
        <w:rPr>
          <w:rFonts w:hint="eastAsia"/>
        </w:rPr>
      </w:pPr>
      <w:r>
        <w:separator/>
      </w:r>
    </w:p>
  </w:footnote>
  <w:footnote w:type="continuationSeparator" w:id="0">
    <w:p w14:paraId="1307B462" w14:textId="77777777" w:rsidR="00D87FBE" w:rsidRDefault="00D87FBE" w:rsidP="00D87F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7FBE"/>
    <w:rsid w:val="00A23C24"/>
    <w:rsid w:val="00D87FBE"/>
    <w:rsid w:val="00FA1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D8E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7FBE"/>
    <w:pPr>
      <w:tabs>
        <w:tab w:val="center" w:pos="4153"/>
        <w:tab w:val="right" w:pos="8306"/>
      </w:tabs>
      <w:snapToGrid w:val="0"/>
      <w:jc w:val="center"/>
    </w:pPr>
    <w:rPr>
      <w:sz w:val="18"/>
      <w:szCs w:val="18"/>
    </w:rPr>
  </w:style>
  <w:style w:type="character" w:customStyle="1" w:styleId="a4">
    <w:name w:val="页眉 字符"/>
    <w:basedOn w:val="a0"/>
    <w:link w:val="a3"/>
    <w:uiPriority w:val="99"/>
    <w:rsid w:val="00D87FBE"/>
    <w:rPr>
      <w:rFonts w:ascii="宋体" w:eastAsia="宋体" w:hAnsi="宋体" w:cs="宋体"/>
      <w:sz w:val="18"/>
      <w:szCs w:val="18"/>
    </w:rPr>
  </w:style>
  <w:style w:type="paragraph" w:styleId="a5">
    <w:name w:val="footer"/>
    <w:basedOn w:val="a"/>
    <w:link w:val="a6"/>
    <w:uiPriority w:val="99"/>
    <w:unhideWhenUsed/>
    <w:rsid w:val="00D87FBE"/>
    <w:pPr>
      <w:tabs>
        <w:tab w:val="center" w:pos="4153"/>
        <w:tab w:val="right" w:pos="8306"/>
      </w:tabs>
      <w:snapToGrid w:val="0"/>
    </w:pPr>
    <w:rPr>
      <w:sz w:val="18"/>
      <w:szCs w:val="18"/>
    </w:rPr>
  </w:style>
  <w:style w:type="character" w:customStyle="1" w:styleId="a6">
    <w:name w:val="页脚 字符"/>
    <w:basedOn w:val="a0"/>
    <w:link w:val="a5"/>
    <w:uiPriority w:val="99"/>
    <w:rsid w:val="00D87F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6">
      <w:marLeft w:val="0"/>
      <w:marRight w:val="0"/>
      <w:marTop w:val="10"/>
      <w:marBottom w:val="10"/>
      <w:divBdr>
        <w:top w:val="none" w:sz="0" w:space="0" w:color="auto"/>
        <w:left w:val="none" w:sz="0" w:space="0" w:color="auto"/>
        <w:bottom w:val="none" w:sz="0" w:space="0" w:color="auto"/>
        <w:right w:val="none" w:sz="0" w:space="0" w:color="auto"/>
      </w:divBdr>
    </w:div>
    <w:div w:id="59208979">
      <w:marLeft w:val="0"/>
      <w:marRight w:val="0"/>
      <w:marTop w:val="10"/>
      <w:marBottom w:val="10"/>
      <w:divBdr>
        <w:top w:val="none" w:sz="0" w:space="0" w:color="auto"/>
        <w:left w:val="none" w:sz="0" w:space="0" w:color="auto"/>
        <w:bottom w:val="none" w:sz="0" w:space="0" w:color="auto"/>
        <w:right w:val="none" w:sz="0" w:space="0" w:color="auto"/>
      </w:divBdr>
    </w:div>
    <w:div w:id="125515743">
      <w:marLeft w:val="0"/>
      <w:marRight w:val="0"/>
      <w:marTop w:val="10"/>
      <w:marBottom w:val="10"/>
      <w:divBdr>
        <w:top w:val="none" w:sz="0" w:space="0" w:color="auto"/>
        <w:left w:val="none" w:sz="0" w:space="0" w:color="auto"/>
        <w:bottom w:val="none" w:sz="0" w:space="0" w:color="auto"/>
        <w:right w:val="none" w:sz="0" w:space="0" w:color="auto"/>
      </w:divBdr>
    </w:div>
    <w:div w:id="254438739">
      <w:marLeft w:val="0"/>
      <w:marRight w:val="0"/>
      <w:marTop w:val="10"/>
      <w:marBottom w:val="10"/>
      <w:divBdr>
        <w:top w:val="none" w:sz="0" w:space="0" w:color="auto"/>
        <w:left w:val="none" w:sz="0" w:space="0" w:color="auto"/>
        <w:bottom w:val="none" w:sz="0" w:space="0" w:color="auto"/>
        <w:right w:val="none" w:sz="0" w:space="0" w:color="auto"/>
      </w:divBdr>
    </w:div>
    <w:div w:id="332799012">
      <w:marLeft w:val="0"/>
      <w:marRight w:val="0"/>
      <w:marTop w:val="10"/>
      <w:marBottom w:val="10"/>
      <w:divBdr>
        <w:top w:val="none" w:sz="0" w:space="0" w:color="auto"/>
        <w:left w:val="none" w:sz="0" w:space="0" w:color="auto"/>
        <w:bottom w:val="none" w:sz="0" w:space="0" w:color="auto"/>
        <w:right w:val="none" w:sz="0" w:space="0" w:color="auto"/>
      </w:divBdr>
    </w:div>
    <w:div w:id="573977205">
      <w:marLeft w:val="0"/>
      <w:marRight w:val="0"/>
      <w:marTop w:val="10"/>
      <w:marBottom w:val="10"/>
      <w:divBdr>
        <w:top w:val="none" w:sz="0" w:space="0" w:color="auto"/>
        <w:left w:val="none" w:sz="0" w:space="0" w:color="auto"/>
        <w:bottom w:val="none" w:sz="0" w:space="0" w:color="auto"/>
        <w:right w:val="none" w:sz="0" w:space="0" w:color="auto"/>
      </w:divBdr>
    </w:div>
    <w:div w:id="626938561">
      <w:marLeft w:val="0"/>
      <w:marRight w:val="720"/>
      <w:marTop w:val="10"/>
      <w:marBottom w:val="10"/>
      <w:divBdr>
        <w:top w:val="none" w:sz="0" w:space="0" w:color="auto"/>
        <w:left w:val="none" w:sz="0" w:space="0" w:color="auto"/>
        <w:bottom w:val="none" w:sz="0" w:space="0" w:color="auto"/>
        <w:right w:val="none" w:sz="0" w:space="0" w:color="auto"/>
      </w:divBdr>
    </w:div>
    <w:div w:id="645202480">
      <w:marLeft w:val="0"/>
      <w:marRight w:val="0"/>
      <w:marTop w:val="10"/>
      <w:marBottom w:val="10"/>
      <w:divBdr>
        <w:top w:val="none" w:sz="0" w:space="0" w:color="auto"/>
        <w:left w:val="none" w:sz="0" w:space="0" w:color="auto"/>
        <w:bottom w:val="none" w:sz="0" w:space="0" w:color="auto"/>
        <w:right w:val="none" w:sz="0" w:space="0" w:color="auto"/>
      </w:divBdr>
    </w:div>
    <w:div w:id="671493750">
      <w:marLeft w:val="0"/>
      <w:marRight w:val="720"/>
      <w:marTop w:val="10"/>
      <w:marBottom w:val="10"/>
      <w:divBdr>
        <w:top w:val="none" w:sz="0" w:space="0" w:color="auto"/>
        <w:left w:val="none" w:sz="0" w:space="0" w:color="auto"/>
        <w:bottom w:val="none" w:sz="0" w:space="0" w:color="auto"/>
        <w:right w:val="none" w:sz="0" w:space="0" w:color="auto"/>
      </w:divBdr>
    </w:div>
    <w:div w:id="738749422">
      <w:marLeft w:val="0"/>
      <w:marRight w:val="0"/>
      <w:marTop w:val="10"/>
      <w:marBottom w:val="10"/>
      <w:divBdr>
        <w:top w:val="none" w:sz="0" w:space="0" w:color="auto"/>
        <w:left w:val="none" w:sz="0" w:space="0" w:color="auto"/>
        <w:bottom w:val="none" w:sz="0" w:space="0" w:color="auto"/>
        <w:right w:val="none" w:sz="0" w:space="0" w:color="auto"/>
      </w:divBdr>
    </w:div>
    <w:div w:id="771362315">
      <w:marLeft w:val="0"/>
      <w:marRight w:val="0"/>
      <w:marTop w:val="10"/>
      <w:marBottom w:val="10"/>
      <w:divBdr>
        <w:top w:val="none" w:sz="0" w:space="0" w:color="auto"/>
        <w:left w:val="none" w:sz="0" w:space="0" w:color="auto"/>
        <w:bottom w:val="none" w:sz="0" w:space="0" w:color="auto"/>
        <w:right w:val="none" w:sz="0" w:space="0" w:color="auto"/>
      </w:divBdr>
    </w:div>
    <w:div w:id="914322892">
      <w:marLeft w:val="0"/>
      <w:marRight w:val="0"/>
      <w:marTop w:val="10"/>
      <w:marBottom w:val="10"/>
      <w:divBdr>
        <w:top w:val="none" w:sz="0" w:space="0" w:color="auto"/>
        <w:left w:val="none" w:sz="0" w:space="0" w:color="auto"/>
        <w:bottom w:val="none" w:sz="0" w:space="0" w:color="auto"/>
        <w:right w:val="none" w:sz="0" w:space="0" w:color="auto"/>
      </w:divBdr>
    </w:div>
    <w:div w:id="1045522480">
      <w:marLeft w:val="0"/>
      <w:marRight w:val="0"/>
      <w:marTop w:val="10"/>
      <w:marBottom w:val="10"/>
      <w:divBdr>
        <w:top w:val="none" w:sz="0" w:space="0" w:color="auto"/>
        <w:left w:val="none" w:sz="0" w:space="0" w:color="auto"/>
        <w:bottom w:val="none" w:sz="0" w:space="0" w:color="auto"/>
        <w:right w:val="none" w:sz="0" w:space="0" w:color="auto"/>
      </w:divBdr>
    </w:div>
    <w:div w:id="1046028244">
      <w:marLeft w:val="0"/>
      <w:marRight w:val="0"/>
      <w:marTop w:val="10"/>
      <w:marBottom w:val="10"/>
      <w:divBdr>
        <w:top w:val="none" w:sz="0" w:space="0" w:color="auto"/>
        <w:left w:val="none" w:sz="0" w:space="0" w:color="auto"/>
        <w:bottom w:val="none" w:sz="0" w:space="0" w:color="auto"/>
        <w:right w:val="none" w:sz="0" w:space="0" w:color="auto"/>
      </w:divBdr>
    </w:div>
    <w:div w:id="1306470707">
      <w:marLeft w:val="0"/>
      <w:marRight w:val="720"/>
      <w:marTop w:val="10"/>
      <w:marBottom w:val="10"/>
      <w:divBdr>
        <w:top w:val="none" w:sz="0" w:space="0" w:color="auto"/>
        <w:left w:val="none" w:sz="0" w:space="0" w:color="auto"/>
        <w:bottom w:val="none" w:sz="0" w:space="0" w:color="auto"/>
        <w:right w:val="none" w:sz="0" w:space="0" w:color="auto"/>
      </w:divBdr>
    </w:div>
    <w:div w:id="1483541675">
      <w:marLeft w:val="0"/>
      <w:marRight w:val="0"/>
      <w:marTop w:val="10"/>
      <w:marBottom w:val="10"/>
      <w:divBdr>
        <w:top w:val="none" w:sz="0" w:space="0" w:color="auto"/>
        <w:left w:val="none" w:sz="0" w:space="0" w:color="auto"/>
        <w:bottom w:val="none" w:sz="0" w:space="0" w:color="auto"/>
        <w:right w:val="none" w:sz="0" w:space="0" w:color="auto"/>
      </w:divBdr>
    </w:div>
    <w:div w:id="1601797705">
      <w:marLeft w:val="0"/>
      <w:marRight w:val="0"/>
      <w:marTop w:val="10"/>
      <w:marBottom w:val="10"/>
      <w:divBdr>
        <w:top w:val="none" w:sz="0" w:space="0" w:color="auto"/>
        <w:left w:val="none" w:sz="0" w:space="0" w:color="auto"/>
        <w:bottom w:val="none" w:sz="0" w:space="0" w:color="auto"/>
        <w:right w:val="none" w:sz="0" w:space="0" w:color="auto"/>
      </w:divBdr>
    </w:div>
    <w:div w:id="1704868127">
      <w:marLeft w:val="0"/>
      <w:marRight w:val="0"/>
      <w:marTop w:val="10"/>
      <w:marBottom w:val="10"/>
      <w:divBdr>
        <w:top w:val="none" w:sz="0" w:space="0" w:color="auto"/>
        <w:left w:val="none" w:sz="0" w:space="0" w:color="auto"/>
        <w:bottom w:val="none" w:sz="0" w:space="0" w:color="auto"/>
        <w:right w:val="none" w:sz="0" w:space="0" w:color="auto"/>
      </w:divBdr>
    </w:div>
    <w:div w:id="1758407047">
      <w:marLeft w:val="0"/>
      <w:marRight w:val="0"/>
      <w:marTop w:val="10"/>
      <w:marBottom w:val="10"/>
      <w:divBdr>
        <w:top w:val="none" w:sz="0" w:space="0" w:color="auto"/>
        <w:left w:val="none" w:sz="0" w:space="0" w:color="auto"/>
        <w:bottom w:val="none" w:sz="0" w:space="0" w:color="auto"/>
        <w:right w:val="none" w:sz="0" w:space="0" w:color="auto"/>
      </w:divBdr>
    </w:div>
    <w:div w:id="1820224715">
      <w:marLeft w:val="0"/>
      <w:marRight w:val="720"/>
      <w:marTop w:val="10"/>
      <w:marBottom w:val="10"/>
      <w:divBdr>
        <w:top w:val="none" w:sz="0" w:space="0" w:color="auto"/>
        <w:left w:val="none" w:sz="0" w:space="0" w:color="auto"/>
        <w:bottom w:val="none" w:sz="0" w:space="0" w:color="auto"/>
        <w:right w:val="none" w:sz="0" w:space="0" w:color="auto"/>
      </w:divBdr>
    </w:div>
    <w:div w:id="1919167472">
      <w:marLeft w:val="0"/>
      <w:marRight w:val="0"/>
      <w:marTop w:val="10"/>
      <w:marBottom w:val="10"/>
      <w:divBdr>
        <w:top w:val="none" w:sz="0" w:space="0" w:color="auto"/>
        <w:left w:val="none" w:sz="0" w:space="0" w:color="auto"/>
        <w:bottom w:val="none" w:sz="0" w:space="0" w:color="auto"/>
        <w:right w:val="none" w:sz="0" w:space="0" w:color="auto"/>
      </w:divBdr>
    </w:div>
    <w:div w:id="1958751301">
      <w:marLeft w:val="0"/>
      <w:marRight w:val="720"/>
      <w:marTop w:val="10"/>
      <w:marBottom w:val="10"/>
      <w:divBdr>
        <w:top w:val="none" w:sz="0" w:space="0" w:color="auto"/>
        <w:left w:val="none" w:sz="0" w:space="0" w:color="auto"/>
        <w:bottom w:val="none" w:sz="0" w:space="0" w:color="auto"/>
        <w:right w:val="none" w:sz="0" w:space="0" w:color="auto"/>
      </w:divBdr>
    </w:div>
    <w:div w:id="19745546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