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D8EAB" w14:textId="77777777" w:rsidR="00DD7C57" w:rsidRDefault="00DD7C57">
      <w:pPr>
        <w:spacing w:line="500" w:lineRule="atLeast"/>
        <w:jc w:val="center"/>
        <w:divId w:val="1797261812"/>
        <w:rPr>
          <w:rFonts w:ascii="黑体" w:eastAsia="黑体" w:hAnsi="黑体"/>
          <w:sz w:val="36"/>
          <w:szCs w:val="36"/>
        </w:rPr>
      </w:pPr>
      <w:r>
        <w:rPr>
          <w:rFonts w:ascii="黑体" w:eastAsia="黑体" w:hAnsi="黑体" w:hint="eastAsia"/>
          <w:sz w:val="36"/>
          <w:szCs w:val="36"/>
        </w:rPr>
        <w:t>河源市源城区人民法院</w:t>
      </w:r>
    </w:p>
    <w:p w14:paraId="0E56F331" w14:textId="77777777" w:rsidR="00DD7C57" w:rsidRDefault="00DD7C57">
      <w:pPr>
        <w:spacing w:line="500" w:lineRule="atLeast"/>
        <w:jc w:val="center"/>
        <w:divId w:val="15044667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BC53B3" w14:textId="77777777" w:rsidR="00DD7C57" w:rsidRDefault="00DD7C57">
      <w:pPr>
        <w:spacing w:line="500" w:lineRule="atLeast"/>
        <w:jc w:val="right"/>
        <w:divId w:val="51165337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312</w:t>
      </w:r>
      <w:r>
        <w:rPr>
          <w:rFonts w:hint="eastAsia"/>
          <w:sz w:val="30"/>
          <w:szCs w:val="30"/>
        </w:rPr>
        <w:t>号</w:t>
      </w:r>
    </w:p>
    <w:p w14:paraId="2BE3DD02" w14:textId="77777777" w:rsidR="00DD7C57" w:rsidRDefault="00DD7C57">
      <w:pPr>
        <w:spacing w:line="500" w:lineRule="atLeast"/>
        <w:ind w:firstLine="600"/>
        <w:divId w:val="236862337"/>
        <w:rPr>
          <w:rFonts w:hint="eastAsia"/>
          <w:sz w:val="30"/>
          <w:szCs w:val="30"/>
        </w:rPr>
      </w:pPr>
      <w:r>
        <w:rPr>
          <w:rFonts w:hint="eastAsia"/>
          <w:sz w:val="30"/>
          <w:szCs w:val="30"/>
        </w:rPr>
        <w:t>公诉机关河源市源城区人民检察院。</w:t>
      </w:r>
    </w:p>
    <w:p w14:paraId="5FA26D8A" w14:textId="77777777" w:rsidR="00DD7C57" w:rsidRDefault="00DD7C57">
      <w:pPr>
        <w:spacing w:line="500" w:lineRule="atLeast"/>
        <w:ind w:firstLine="600"/>
        <w:divId w:val="1597206986"/>
        <w:rPr>
          <w:rFonts w:hint="eastAsia"/>
          <w:sz w:val="30"/>
          <w:szCs w:val="30"/>
        </w:rPr>
      </w:pPr>
      <w:r>
        <w:rPr>
          <w:rFonts w:hint="eastAsia"/>
          <w:sz w:val="30"/>
          <w:szCs w:val="30"/>
        </w:rPr>
        <w:t>被告人李利生，男，</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日出生，汉族，高中文化，原系河源市国土资源局土地交易中心职工，户籍所在地广东省河源市源城区。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日因本案被抓获。</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日被河源市公安局刑事拘留，同年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日被依法逮捕。现羁押于河源市看守所。</w:t>
      </w:r>
    </w:p>
    <w:p w14:paraId="755142D6" w14:textId="77777777" w:rsidR="00DD7C57" w:rsidRDefault="00DD7C57">
      <w:pPr>
        <w:spacing w:line="500" w:lineRule="atLeast"/>
        <w:ind w:firstLine="600"/>
        <w:divId w:val="165443531"/>
        <w:rPr>
          <w:rFonts w:hint="eastAsia"/>
          <w:sz w:val="30"/>
          <w:szCs w:val="30"/>
        </w:rPr>
      </w:pPr>
      <w:r>
        <w:rPr>
          <w:rFonts w:hint="eastAsia"/>
          <w:sz w:val="30"/>
          <w:szCs w:val="30"/>
        </w:rPr>
        <w:t>辩护人李飞艺，广东新丰江律师事务所律师。</w:t>
      </w:r>
    </w:p>
    <w:p w14:paraId="497E07AC" w14:textId="77777777" w:rsidR="00DD7C57" w:rsidRDefault="00DD7C57">
      <w:pPr>
        <w:spacing w:line="500" w:lineRule="atLeast"/>
        <w:ind w:firstLine="600"/>
        <w:divId w:val="1176962562"/>
        <w:rPr>
          <w:rFonts w:hint="eastAsia"/>
          <w:sz w:val="30"/>
          <w:szCs w:val="30"/>
        </w:rPr>
      </w:pPr>
      <w:r>
        <w:rPr>
          <w:rFonts w:hint="eastAsia"/>
          <w:sz w:val="30"/>
          <w:szCs w:val="30"/>
        </w:rPr>
        <w:t>河源市源城区人民检察院以源检公诉刑诉</w:t>
      </w:r>
      <w:r>
        <w:rPr>
          <w:rFonts w:hint="eastAsia"/>
          <w:sz w:val="30"/>
          <w:szCs w:val="30"/>
        </w:rPr>
        <w:t>[2016]303</w:t>
      </w:r>
      <w:r>
        <w:rPr>
          <w:rFonts w:hint="eastAsia"/>
          <w:sz w:val="30"/>
          <w:szCs w:val="30"/>
        </w:rPr>
        <w:t>号起诉书指控被告人李利生犯贪污罪，于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日向本院提起公诉。本院依法组成合议庭，公开开庭审理了本案。源城区人民检察院指派检察员余细显出庭支持公诉，被告人李利生及其辩护人李飞艺到庭参加了诉讼。现已审理终结。</w:t>
      </w:r>
    </w:p>
    <w:p w14:paraId="02F93C1D" w14:textId="77777777" w:rsidR="00DD7C57" w:rsidRDefault="00DD7C57">
      <w:pPr>
        <w:spacing w:line="500" w:lineRule="atLeast"/>
        <w:ind w:firstLine="600"/>
        <w:divId w:val="106974657"/>
        <w:rPr>
          <w:rFonts w:hint="eastAsia"/>
          <w:sz w:val="30"/>
          <w:szCs w:val="30"/>
        </w:rPr>
      </w:pPr>
      <w:r>
        <w:rPr>
          <w:rFonts w:hint="eastAsia"/>
          <w:sz w:val="30"/>
          <w:szCs w:val="30"/>
        </w:rPr>
        <w:t>经审理查明，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告人李利生作为河源市国土局土地交易中心办证窗口收款员，负责为河源市国土局代收契税、营业税、增值税、调解基金、土地出让金、档案服务费、年检补交地价款等费用。期间，被告人李利生将其经手收取并保管的上述资金用于赌足彩、投资矿产、购置车辆等活动，后因无力偿还被挪用的公款，便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日离岗潜逃。经河源市国土局组织相关部门对李利生经手保管的未结算票据进行核算，被告人李利生挪用的公款总金额为</w:t>
      </w:r>
      <w:r>
        <w:rPr>
          <w:rFonts w:hint="eastAsia"/>
          <w:sz w:val="30"/>
          <w:szCs w:val="30"/>
        </w:rPr>
        <w:t>1223821.6</w:t>
      </w:r>
      <w:r>
        <w:rPr>
          <w:rFonts w:hint="eastAsia"/>
          <w:sz w:val="30"/>
          <w:szCs w:val="30"/>
        </w:rPr>
        <w:t>元人民币</w:t>
      </w:r>
      <w:r>
        <w:rPr>
          <w:rFonts w:hint="eastAsia"/>
          <w:sz w:val="30"/>
          <w:szCs w:val="30"/>
        </w:rPr>
        <w:t>,</w:t>
      </w:r>
      <w:r>
        <w:rPr>
          <w:rFonts w:hint="eastAsia"/>
          <w:sz w:val="30"/>
          <w:szCs w:val="30"/>
        </w:rPr>
        <w:t>具体为</w:t>
      </w:r>
      <w:r>
        <w:rPr>
          <w:rFonts w:hint="eastAsia"/>
          <w:sz w:val="30"/>
          <w:szCs w:val="30"/>
        </w:rPr>
        <w:t>:(1)</w:t>
      </w:r>
      <w:r>
        <w:rPr>
          <w:rFonts w:hint="eastAsia"/>
          <w:sz w:val="30"/>
          <w:szCs w:val="30"/>
        </w:rPr>
        <w:t>河源市国土局财务科委托收取的契税、档案服务费、调解基金、土地出让金、年检补交地价款等未结算费用，共计现金</w:t>
      </w:r>
      <w:r>
        <w:rPr>
          <w:rFonts w:hint="eastAsia"/>
          <w:sz w:val="30"/>
          <w:szCs w:val="30"/>
        </w:rPr>
        <w:t>698706.6</w:t>
      </w:r>
      <w:r>
        <w:rPr>
          <w:rFonts w:hint="eastAsia"/>
          <w:sz w:val="30"/>
          <w:szCs w:val="30"/>
        </w:rPr>
        <w:t>元人民币；（</w:t>
      </w:r>
      <w:r>
        <w:rPr>
          <w:rFonts w:hint="eastAsia"/>
          <w:sz w:val="30"/>
          <w:szCs w:val="30"/>
        </w:rPr>
        <w:t>2</w:t>
      </w:r>
      <w:r>
        <w:rPr>
          <w:rFonts w:hint="eastAsia"/>
          <w:sz w:val="30"/>
          <w:szCs w:val="30"/>
        </w:rPr>
        <w:t>）河源市国土局地籍科委托收取的营业税、增值税等未结算费用共计</w:t>
      </w:r>
      <w:r>
        <w:rPr>
          <w:rFonts w:hint="eastAsia"/>
          <w:sz w:val="30"/>
          <w:szCs w:val="30"/>
        </w:rPr>
        <w:lastRenderedPageBreak/>
        <w:t>现金</w:t>
      </w:r>
      <w:r>
        <w:rPr>
          <w:rFonts w:hint="eastAsia"/>
          <w:sz w:val="30"/>
          <w:szCs w:val="30"/>
        </w:rPr>
        <w:t>190291.2</w:t>
      </w:r>
      <w:r>
        <w:rPr>
          <w:rFonts w:hint="eastAsia"/>
          <w:sz w:val="30"/>
          <w:szCs w:val="30"/>
        </w:rPr>
        <w:t>元人民币；（</w:t>
      </w:r>
      <w:r>
        <w:rPr>
          <w:rFonts w:hint="eastAsia"/>
          <w:sz w:val="30"/>
          <w:szCs w:val="30"/>
        </w:rPr>
        <w:t>3</w:t>
      </w:r>
      <w:r>
        <w:rPr>
          <w:rFonts w:hint="eastAsia"/>
          <w:sz w:val="30"/>
          <w:szCs w:val="30"/>
        </w:rPr>
        <w:t>）河源市国土局源城分局委托收取的契税、营业税、增值税等未结算费用共计现金</w:t>
      </w:r>
      <w:r>
        <w:rPr>
          <w:rFonts w:hint="eastAsia"/>
          <w:sz w:val="30"/>
          <w:szCs w:val="30"/>
        </w:rPr>
        <w:t>257878.8</w:t>
      </w:r>
      <w:r>
        <w:rPr>
          <w:rFonts w:hint="eastAsia"/>
          <w:sz w:val="30"/>
          <w:szCs w:val="30"/>
        </w:rPr>
        <w:t>元人民币；（</w:t>
      </w:r>
      <w:r>
        <w:rPr>
          <w:rFonts w:hint="eastAsia"/>
          <w:sz w:val="30"/>
          <w:szCs w:val="30"/>
        </w:rPr>
        <w:t>4</w:t>
      </w:r>
      <w:r>
        <w:rPr>
          <w:rFonts w:hint="eastAsia"/>
          <w:sz w:val="30"/>
          <w:szCs w:val="30"/>
        </w:rPr>
        <w:t>）河源市国土局源城分局委托收取的契税、营业税、增值税等已结算未缴清的费用，共计现金</w:t>
      </w:r>
      <w:r>
        <w:rPr>
          <w:rFonts w:hint="eastAsia"/>
          <w:sz w:val="30"/>
          <w:szCs w:val="30"/>
        </w:rPr>
        <w:t>76945</w:t>
      </w:r>
      <w:r>
        <w:rPr>
          <w:rFonts w:hint="eastAsia"/>
          <w:sz w:val="30"/>
          <w:szCs w:val="30"/>
        </w:rPr>
        <w:t>元人民币。</w:t>
      </w:r>
    </w:p>
    <w:p w14:paraId="2E83C3DB" w14:textId="77777777" w:rsidR="00DD7C57" w:rsidRDefault="00DD7C57">
      <w:pPr>
        <w:spacing w:line="500" w:lineRule="atLeast"/>
        <w:ind w:firstLine="600"/>
        <w:divId w:val="205724726"/>
        <w:rPr>
          <w:rFonts w:hint="eastAsia"/>
          <w:sz w:val="30"/>
          <w:szCs w:val="30"/>
        </w:rPr>
      </w:pPr>
      <w:r>
        <w:rPr>
          <w:rFonts w:hint="eastAsia"/>
          <w:sz w:val="30"/>
          <w:szCs w:val="30"/>
        </w:rPr>
        <w:t>被告人李利生潜逃后化名为林某某，在四川省成都市定居。</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日，公安人员在成都市将被告人李利生抓获归案。</w:t>
      </w:r>
    </w:p>
    <w:p w14:paraId="0FFD7F8E" w14:textId="77777777" w:rsidR="00DD7C57" w:rsidRDefault="00DD7C57">
      <w:pPr>
        <w:spacing w:line="500" w:lineRule="atLeast"/>
        <w:ind w:firstLine="600"/>
        <w:divId w:val="1185175181"/>
        <w:rPr>
          <w:rFonts w:hint="eastAsia"/>
          <w:sz w:val="30"/>
          <w:szCs w:val="30"/>
        </w:rPr>
      </w:pPr>
      <w:r>
        <w:rPr>
          <w:rFonts w:hint="eastAsia"/>
          <w:sz w:val="30"/>
          <w:szCs w:val="30"/>
        </w:rPr>
        <w:t>另河源市国土资源局已将被告人李利生的单位年终奖金</w:t>
      </w:r>
      <w:r>
        <w:rPr>
          <w:rFonts w:hint="eastAsia"/>
          <w:sz w:val="30"/>
          <w:szCs w:val="30"/>
        </w:rPr>
        <w:t>2460</w:t>
      </w:r>
      <w:r>
        <w:rPr>
          <w:rFonts w:hint="eastAsia"/>
          <w:sz w:val="30"/>
          <w:szCs w:val="30"/>
        </w:rPr>
        <w:t>元、投资三高农业实验场有限公司收益款</w:t>
      </w:r>
      <w:r>
        <w:rPr>
          <w:rFonts w:hint="eastAsia"/>
          <w:sz w:val="30"/>
          <w:szCs w:val="30"/>
        </w:rPr>
        <w:t>3260</w:t>
      </w:r>
      <w:r>
        <w:rPr>
          <w:rFonts w:hint="eastAsia"/>
          <w:sz w:val="30"/>
          <w:szCs w:val="30"/>
        </w:rPr>
        <w:t>元、</w:t>
      </w:r>
      <w:r>
        <w:rPr>
          <w:rFonts w:hint="eastAsia"/>
          <w:sz w:val="30"/>
          <w:szCs w:val="30"/>
        </w:rPr>
        <w:t>4680</w:t>
      </w:r>
      <w:r>
        <w:rPr>
          <w:rFonts w:hint="eastAsia"/>
          <w:sz w:val="30"/>
          <w:szCs w:val="30"/>
        </w:rPr>
        <w:t>元，共计</w:t>
      </w:r>
      <w:r>
        <w:rPr>
          <w:rFonts w:hint="eastAsia"/>
          <w:sz w:val="30"/>
          <w:szCs w:val="30"/>
        </w:rPr>
        <w:t>10400</w:t>
      </w:r>
      <w:r>
        <w:rPr>
          <w:rFonts w:hint="eastAsia"/>
          <w:sz w:val="30"/>
          <w:szCs w:val="30"/>
        </w:rPr>
        <w:t>元冲抵其挂账数，上述款项应认定为被告人李利生事后归还的款项。</w:t>
      </w:r>
    </w:p>
    <w:p w14:paraId="0B1330A6" w14:textId="77777777" w:rsidR="00DD7C57" w:rsidRDefault="00DD7C57">
      <w:pPr>
        <w:spacing w:line="500" w:lineRule="atLeast"/>
        <w:ind w:firstLine="600"/>
        <w:divId w:val="1877038740"/>
        <w:rPr>
          <w:rFonts w:hint="eastAsia"/>
          <w:sz w:val="30"/>
          <w:szCs w:val="30"/>
        </w:rPr>
      </w:pPr>
      <w:r>
        <w:rPr>
          <w:rFonts w:hint="eastAsia"/>
          <w:sz w:val="30"/>
          <w:szCs w:val="30"/>
        </w:rPr>
        <w:t>上述事实，被告人在开庭审理过程中亦无异议，且有书证：河源市专项基金统一收据、土地出让专用票据、广东省行政事业型收费统一收据、广东省河源市服务业发票、中华人民共和国契税完税证、代扣代收税款凭证、关于请求缉拿携公款潜逃李利生归案的报告、李利生潜逃涉案金额基表、欠条、委托代征税款协议书、广东省财政机关委托代征税款证书、代扣代缴税款证书、证明、银行流水清单、退伍军人安置审批表、关于河源市国土资源局所属事业单位机构编制方案的批复、到案情况说明、搜查笔录、被告人李利生的供述、证人廖某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、张某某、丘某、许某某、李某</w:t>
      </w:r>
      <w:r>
        <w:rPr>
          <w:rFonts w:hint="eastAsia"/>
          <w:sz w:val="30"/>
          <w:szCs w:val="30"/>
        </w:rPr>
        <w:t>4</w:t>
      </w:r>
      <w:r>
        <w:rPr>
          <w:rFonts w:hint="eastAsia"/>
          <w:sz w:val="30"/>
          <w:szCs w:val="30"/>
        </w:rPr>
        <w:t>、叶某、刘某某、俞某、潘某某的证言、辨认笔录等证据予以证实，足以认定。</w:t>
      </w:r>
    </w:p>
    <w:p w14:paraId="7A3DFD69" w14:textId="77777777" w:rsidR="00DD7C57" w:rsidRDefault="00DD7C57">
      <w:pPr>
        <w:spacing w:line="500" w:lineRule="atLeast"/>
        <w:ind w:firstLine="600"/>
        <w:divId w:val="221407985"/>
        <w:rPr>
          <w:rFonts w:hint="eastAsia"/>
          <w:sz w:val="30"/>
          <w:szCs w:val="30"/>
        </w:rPr>
      </w:pPr>
      <w:r>
        <w:rPr>
          <w:rFonts w:hint="eastAsia"/>
          <w:sz w:val="30"/>
          <w:szCs w:val="30"/>
        </w:rPr>
        <w:t>上述证据，经法庭举证和质证，来源合法，内容客观真实，且能相互印证，可以作为本案定罪依据，本院予以确认。</w:t>
      </w:r>
    </w:p>
    <w:p w14:paraId="372F8C52" w14:textId="77777777" w:rsidR="00DD7C57" w:rsidRDefault="00DD7C57">
      <w:pPr>
        <w:spacing w:line="500" w:lineRule="atLeast"/>
        <w:ind w:firstLine="600"/>
        <w:divId w:val="1272711193"/>
        <w:rPr>
          <w:rFonts w:hint="eastAsia"/>
          <w:sz w:val="30"/>
          <w:szCs w:val="30"/>
        </w:rPr>
      </w:pPr>
      <w:r>
        <w:rPr>
          <w:rFonts w:hint="eastAsia"/>
          <w:sz w:val="30"/>
          <w:szCs w:val="30"/>
        </w:rPr>
        <w:t>本院认为，被告人李利生无视国法，作为国有事业单位的工作人员，利用其担任收款员的职务便利，采取收款不上缴的手段，截留挪用公款共计</w:t>
      </w:r>
      <w:r>
        <w:rPr>
          <w:rFonts w:hint="eastAsia"/>
          <w:sz w:val="30"/>
          <w:szCs w:val="30"/>
        </w:rPr>
        <w:t>1223821.6</w:t>
      </w:r>
      <w:r>
        <w:rPr>
          <w:rFonts w:hint="eastAsia"/>
          <w:sz w:val="30"/>
          <w:szCs w:val="30"/>
        </w:rPr>
        <w:t>元用于赌足彩、投资等活动，且畏罪潜逃，其行为已构成贪污罪，公诉机关指控被告人李利生犯罪事实清楚，证据确实、充分，罪名成立。被告人的辩护人提出被告人李利生归案后能如实供述自己的罪行，当庭表示认罪，依法可从轻处罚的辩护意见。该辩护的意见与事实相符，本院予以采纳。另该辩护人提出</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日被告人李利生与河源市国土局财务人员许浩云经结算，确认欠下税费</w:t>
      </w:r>
      <w:r>
        <w:rPr>
          <w:rFonts w:hint="eastAsia"/>
          <w:sz w:val="30"/>
          <w:szCs w:val="30"/>
        </w:rPr>
        <w:t>76945</w:t>
      </w:r>
      <w:r>
        <w:rPr>
          <w:rFonts w:hint="eastAsia"/>
          <w:sz w:val="30"/>
          <w:szCs w:val="30"/>
        </w:rPr>
        <w:t>元，并写有一张欠条。其认为该笔款不应计入被告人犯罪的数额的辩护意见。经查，该笔款项系被告人单位委托其代收并应上缴的税款，并不是被告人与其单位河源市国土局一般的债权债务关系，且直至今日被告人仍未归还，应认定为被告人李利生贪污的数额。故该辩护意见不成立，本院不予支持。综上，依照《中华人民共和国刑法》第三百八十二条、第三百八十三条、第六十七条第三款、第五十二条、第五十三条、《最高人民法院、最高人民检察院关于办理贪污贿赂刑事案件适用法律若干问题的解释》第二条第一款、第十九条之规定，判决如下：</w:t>
      </w:r>
    </w:p>
    <w:p w14:paraId="36270446" w14:textId="77777777" w:rsidR="00DD7C57" w:rsidRDefault="00DD7C57">
      <w:pPr>
        <w:spacing w:line="500" w:lineRule="atLeast"/>
        <w:ind w:firstLine="600"/>
        <w:divId w:val="1097095919"/>
        <w:rPr>
          <w:rFonts w:hint="eastAsia"/>
          <w:sz w:val="30"/>
          <w:szCs w:val="30"/>
        </w:rPr>
      </w:pPr>
      <w:r>
        <w:rPr>
          <w:rFonts w:hint="eastAsia"/>
          <w:sz w:val="30"/>
          <w:szCs w:val="30"/>
        </w:rPr>
        <w:t>被告人李利生犯贪污罪，判处有期徒刑四年，并处罚金</w:t>
      </w:r>
      <w:r>
        <w:rPr>
          <w:rFonts w:hint="eastAsia"/>
          <w:sz w:val="30"/>
          <w:szCs w:val="30"/>
        </w:rPr>
        <w:t>1000000</w:t>
      </w:r>
      <w:r>
        <w:rPr>
          <w:rFonts w:hint="eastAsia"/>
          <w:sz w:val="30"/>
          <w:szCs w:val="30"/>
        </w:rPr>
        <w:t>元。</w:t>
      </w:r>
    </w:p>
    <w:p w14:paraId="11DBCD25" w14:textId="77777777" w:rsidR="00DD7C57" w:rsidRDefault="00DD7C57">
      <w:pPr>
        <w:spacing w:line="500" w:lineRule="atLeast"/>
        <w:ind w:firstLine="600"/>
        <w:divId w:val="624972188"/>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日止）。</w:t>
      </w:r>
    </w:p>
    <w:p w14:paraId="3859C482" w14:textId="77777777" w:rsidR="00DD7C57" w:rsidRDefault="00DD7C57">
      <w:pPr>
        <w:spacing w:line="500" w:lineRule="atLeast"/>
        <w:ind w:firstLine="600"/>
        <w:divId w:val="1740978905"/>
        <w:rPr>
          <w:rFonts w:hint="eastAsia"/>
          <w:sz w:val="30"/>
          <w:szCs w:val="30"/>
        </w:rPr>
      </w:pPr>
      <w:r>
        <w:rPr>
          <w:rFonts w:hint="eastAsia"/>
          <w:sz w:val="30"/>
          <w:szCs w:val="30"/>
        </w:rPr>
        <w:t>罚金自本判决生效后十日内向本院缴交。</w:t>
      </w:r>
    </w:p>
    <w:p w14:paraId="66D46E50" w14:textId="77777777" w:rsidR="00DD7C57" w:rsidRDefault="00DD7C57">
      <w:pPr>
        <w:spacing w:line="500" w:lineRule="atLeast"/>
        <w:ind w:firstLine="600"/>
        <w:divId w:val="518854312"/>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14:paraId="7E98F103" w14:textId="77777777" w:rsidR="00DD7C57" w:rsidRDefault="00DD7C57">
      <w:pPr>
        <w:spacing w:line="500" w:lineRule="atLeast"/>
        <w:jc w:val="right"/>
        <w:divId w:val="986204811"/>
        <w:rPr>
          <w:rFonts w:hint="eastAsia"/>
          <w:sz w:val="30"/>
          <w:szCs w:val="30"/>
        </w:rPr>
      </w:pPr>
      <w:r>
        <w:rPr>
          <w:rFonts w:hint="eastAsia"/>
          <w:sz w:val="30"/>
          <w:szCs w:val="30"/>
        </w:rPr>
        <w:t>审　判　长　　罗海冰</w:t>
      </w:r>
    </w:p>
    <w:p w14:paraId="4C630D41" w14:textId="77777777" w:rsidR="00DD7C57" w:rsidRDefault="00DD7C57">
      <w:pPr>
        <w:spacing w:line="500" w:lineRule="atLeast"/>
        <w:jc w:val="right"/>
        <w:divId w:val="1133249585"/>
        <w:rPr>
          <w:rFonts w:hint="eastAsia"/>
          <w:sz w:val="30"/>
          <w:szCs w:val="30"/>
        </w:rPr>
      </w:pPr>
      <w:r>
        <w:rPr>
          <w:rFonts w:hint="eastAsia"/>
          <w:sz w:val="30"/>
          <w:szCs w:val="30"/>
        </w:rPr>
        <w:t>审　判　员　　李春霞</w:t>
      </w:r>
    </w:p>
    <w:p w14:paraId="0F00588C" w14:textId="77777777" w:rsidR="00DD7C57" w:rsidRDefault="00DD7C57">
      <w:pPr>
        <w:spacing w:line="500" w:lineRule="atLeast"/>
        <w:jc w:val="right"/>
        <w:divId w:val="1505171176"/>
        <w:rPr>
          <w:rFonts w:hint="eastAsia"/>
          <w:sz w:val="30"/>
          <w:szCs w:val="30"/>
        </w:rPr>
      </w:pPr>
      <w:r>
        <w:rPr>
          <w:rFonts w:hint="eastAsia"/>
          <w:sz w:val="30"/>
          <w:szCs w:val="30"/>
        </w:rPr>
        <w:t>人民陪审员　　杨　锋</w:t>
      </w:r>
    </w:p>
    <w:p w14:paraId="1B51B5D9" w14:textId="77777777" w:rsidR="00DD7C57" w:rsidRDefault="00DD7C57">
      <w:pPr>
        <w:spacing w:line="500" w:lineRule="atLeast"/>
        <w:jc w:val="right"/>
        <w:divId w:val="1169254437"/>
        <w:rPr>
          <w:rFonts w:hint="eastAsia"/>
          <w:sz w:val="30"/>
          <w:szCs w:val="30"/>
        </w:rPr>
      </w:pPr>
      <w:r>
        <w:rPr>
          <w:rFonts w:hint="eastAsia"/>
          <w:sz w:val="30"/>
          <w:szCs w:val="30"/>
        </w:rPr>
        <w:t>二〇一六年十月十八日</w:t>
      </w:r>
    </w:p>
    <w:p w14:paraId="28BA0825" w14:textId="77777777" w:rsidR="00DD7C57" w:rsidRDefault="00DD7C57">
      <w:pPr>
        <w:spacing w:line="500" w:lineRule="atLeast"/>
        <w:jc w:val="right"/>
        <w:divId w:val="54594644"/>
        <w:rPr>
          <w:rFonts w:hint="eastAsia"/>
          <w:sz w:val="30"/>
          <w:szCs w:val="30"/>
        </w:rPr>
      </w:pPr>
      <w:r>
        <w:rPr>
          <w:rFonts w:hint="eastAsia"/>
          <w:sz w:val="30"/>
          <w:szCs w:val="30"/>
        </w:rPr>
        <w:t>书　记　员　　李俊科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10353" w14:textId="77777777" w:rsidR="00DD7C57" w:rsidRDefault="00DD7C57" w:rsidP="00DD7C57">
      <w:pPr>
        <w:rPr>
          <w:rFonts w:hint="eastAsia"/>
        </w:rPr>
      </w:pPr>
      <w:r>
        <w:separator/>
      </w:r>
    </w:p>
  </w:endnote>
  <w:endnote w:type="continuationSeparator" w:id="0">
    <w:p w14:paraId="17EDA1D2" w14:textId="77777777" w:rsidR="00DD7C57" w:rsidRDefault="00DD7C57" w:rsidP="00DD7C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F8540" w14:textId="77777777" w:rsidR="00DD7C57" w:rsidRDefault="00DD7C57" w:rsidP="00DD7C57">
      <w:pPr>
        <w:rPr>
          <w:rFonts w:hint="eastAsia"/>
        </w:rPr>
      </w:pPr>
      <w:r>
        <w:separator/>
      </w:r>
    </w:p>
  </w:footnote>
  <w:footnote w:type="continuationSeparator" w:id="0">
    <w:p w14:paraId="0D3E3469" w14:textId="77777777" w:rsidR="00DD7C57" w:rsidRDefault="00DD7C57" w:rsidP="00DD7C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7C57"/>
    <w:rsid w:val="00A23C24"/>
    <w:rsid w:val="00DD7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ABDB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D7C57"/>
    <w:pPr>
      <w:tabs>
        <w:tab w:val="center" w:pos="4153"/>
        <w:tab w:val="right" w:pos="8306"/>
      </w:tabs>
      <w:snapToGrid w:val="0"/>
      <w:jc w:val="center"/>
    </w:pPr>
    <w:rPr>
      <w:sz w:val="18"/>
      <w:szCs w:val="18"/>
    </w:rPr>
  </w:style>
  <w:style w:type="character" w:customStyle="1" w:styleId="a5">
    <w:name w:val="页眉 字符"/>
    <w:basedOn w:val="a0"/>
    <w:link w:val="a4"/>
    <w:uiPriority w:val="99"/>
    <w:rsid w:val="00DD7C57"/>
    <w:rPr>
      <w:rFonts w:ascii="宋体" w:eastAsia="宋体" w:hAnsi="宋体" w:cs="宋体"/>
      <w:sz w:val="18"/>
      <w:szCs w:val="18"/>
    </w:rPr>
  </w:style>
  <w:style w:type="paragraph" w:styleId="a6">
    <w:name w:val="footer"/>
    <w:basedOn w:val="a"/>
    <w:link w:val="a7"/>
    <w:uiPriority w:val="99"/>
    <w:unhideWhenUsed/>
    <w:rsid w:val="00DD7C57"/>
    <w:pPr>
      <w:tabs>
        <w:tab w:val="center" w:pos="4153"/>
        <w:tab w:val="right" w:pos="8306"/>
      </w:tabs>
      <w:snapToGrid w:val="0"/>
    </w:pPr>
    <w:rPr>
      <w:sz w:val="18"/>
      <w:szCs w:val="18"/>
    </w:rPr>
  </w:style>
  <w:style w:type="character" w:customStyle="1" w:styleId="a7">
    <w:name w:val="页脚 字符"/>
    <w:basedOn w:val="a0"/>
    <w:link w:val="a6"/>
    <w:uiPriority w:val="99"/>
    <w:rsid w:val="00DD7C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94644">
      <w:marLeft w:val="0"/>
      <w:marRight w:val="720"/>
      <w:marTop w:val="10"/>
      <w:marBottom w:val="10"/>
      <w:divBdr>
        <w:top w:val="none" w:sz="0" w:space="0" w:color="auto"/>
        <w:left w:val="none" w:sz="0" w:space="0" w:color="auto"/>
        <w:bottom w:val="none" w:sz="0" w:space="0" w:color="auto"/>
        <w:right w:val="none" w:sz="0" w:space="0" w:color="auto"/>
      </w:divBdr>
    </w:div>
    <w:div w:id="106974657">
      <w:marLeft w:val="0"/>
      <w:marRight w:val="0"/>
      <w:marTop w:val="10"/>
      <w:marBottom w:val="10"/>
      <w:divBdr>
        <w:top w:val="none" w:sz="0" w:space="0" w:color="auto"/>
        <w:left w:val="none" w:sz="0" w:space="0" w:color="auto"/>
        <w:bottom w:val="none" w:sz="0" w:space="0" w:color="auto"/>
        <w:right w:val="none" w:sz="0" w:space="0" w:color="auto"/>
      </w:divBdr>
    </w:div>
    <w:div w:id="165443531">
      <w:marLeft w:val="0"/>
      <w:marRight w:val="0"/>
      <w:marTop w:val="10"/>
      <w:marBottom w:val="10"/>
      <w:divBdr>
        <w:top w:val="none" w:sz="0" w:space="0" w:color="auto"/>
        <w:left w:val="none" w:sz="0" w:space="0" w:color="auto"/>
        <w:bottom w:val="none" w:sz="0" w:space="0" w:color="auto"/>
        <w:right w:val="none" w:sz="0" w:space="0" w:color="auto"/>
      </w:divBdr>
    </w:div>
    <w:div w:id="205724726">
      <w:marLeft w:val="0"/>
      <w:marRight w:val="0"/>
      <w:marTop w:val="10"/>
      <w:marBottom w:val="10"/>
      <w:divBdr>
        <w:top w:val="none" w:sz="0" w:space="0" w:color="auto"/>
        <w:left w:val="none" w:sz="0" w:space="0" w:color="auto"/>
        <w:bottom w:val="none" w:sz="0" w:space="0" w:color="auto"/>
        <w:right w:val="none" w:sz="0" w:space="0" w:color="auto"/>
      </w:divBdr>
    </w:div>
    <w:div w:id="221407985">
      <w:marLeft w:val="0"/>
      <w:marRight w:val="0"/>
      <w:marTop w:val="10"/>
      <w:marBottom w:val="10"/>
      <w:divBdr>
        <w:top w:val="none" w:sz="0" w:space="0" w:color="auto"/>
        <w:left w:val="none" w:sz="0" w:space="0" w:color="auto"/>
        <w:bottom w:val="none" w:sz="0" w:space="0" w:color="auto"/>
        <w:right w:val="none" w:sz="0" w:space="0" w:color="auto"/>
      </w:divBdr>
    </w:div>
    <w:div w:id="236862337">
      <w:marLeft w:val="0"/>
      <w:marRight w:val="0"/>
      <w:marTop w:val="10"/>
      <w:marBottom w:val="10"/>
      <w:divBdr>
        <w:top w:val="none" w:sz="0" w:space="0" w:color="auto"/>
        <w:left w:val="none" w:sz="0" w:space="0" w:color="auto"/>
        <w:bottom w:val="none" w:sz="0" w:space="0" w:color="auto"/>
        <w:right w:val="none" w:sz="0" w:space="0" w:color="auto"/>
      </w:divBdr>
    </w:div>
    <w:div w:id="511653375">
      <w:marLeft w:val="0"/>
      <w:marRight w:val="0"/>
      <w:marTop w:val="10"/>
      <w:marBottom w:val="10"/>
      <w:divBdr>
        <w:top w:val="none" w:sz="0" w:space="0" w:color="auto"/>
        <w:left w:val="none" w:sz="0" w:space="0" w:color="auto"/>
        <w:bottom w:val="none" w:sz="0" w:space="0" w:color="auto"/>
        <w:right w:val="none" w:sz="0" w:space="0" w:color="auto"/>
      </w:divBdr>
    </w:div>
    <w:div w:id="518854312">
      <w:marLeft w:val="0"/>
      <w:marRight w:val="0"/>
      <w:marTop w:val="10"/>
      <w:marBottom w:val="10"/>
      <w:divBdr>
        <w:top w:val="none" w:sz="0" w:space="0" w:color="auto"/>
        <w:left w:val="none" w:sz="0" w:space="0" w:color="auto"/>
        <w:bottom w:val="none" w:sz="0" w:space="0" w:color="auto"/>
        <w:right w:val="none" w:sz="0" w:space="0" w:color="auto"/>
      </w:divBdr>
    </w:div>
    <w:div w:id="624972188">
      <w:marLeft w:val="0"/>
      <w:marRight w:val="0"/>
      <w:marTop w:val="10"/>
      <w:marBottom w:val="10"/>
      <w:divBdr>
        <w:top w:val="none" w:sz="0" w:space="0" w:color="auto"/>
        <w:left w:val="none" w:sz="0" w:space="0" w:color="auto"/>
        <w:bottom w:val="none" w:sz="0" w:space="0" w:color="auto"/>
        <w:right w:val="none" w:sz="0" w:space="0" w:color="auto"/>
      </w:divBdr>
    </w:div>
    <w:div w:id="986204811">
      <w:marLeft w:val="0"/>
      <w:marRight w:val="720"/>
      <w:marTop w:val="10"/>
      <w:marBottom w:val="10"/>
      <w:divBdr>
        <w:top w:val="none" w:sz="0" w:space="0" w:color="auto"/>
        <w:left w:val="none" w:sz="0" w:space="0" w:color="auto"/>
        <w:bottom w:val="none" w:sz="0" w:space="0" w:color="auto"/>
        <w:right w:val="none" w:sz="0" w:space="0" w:color="auto"/>
      </w:divBdr>
    </w:div>
    <w:div w:id="1097095919">
      <w:marLeft w:val="0"/>
      <w:marRight w:val="0"/>
      <w:marTop w:val="10"/>
      <w:marBottom w:val="10"/>
      <w:divBdr>
        <w:top w:val="none" w:sz="0" w:space="0" w:color="auto"/>
        <w:left w:val="none" w:sz="0" w:space="0" w:color="auto"/>
        <w:bottom w:val="none" w:sz="0" w:space="0" w:color="auto"/>
        <w:right w:val="none" w:sz="0" w:space="0" w:color="auto"/>
      </w:divBdr>
    </w:div>
    <w:div w:id="1133249585">
      <w:marLeft w:val="0"/>
      <w:marRight w:val="720"/>
      <w:marTop w:val="10"/>
      <w:marBottom w:val="10"/>
      <w:divBdr>
        <w:top w:val="none" w:sz="0" w:space="0" w:color="auto"/>
        <w:left w:val="none" w:sz="0" w:space="0" w:color="auto"/>
        <w:bottom w:val="none" w:sz="0" w:space="0" w:color="auto"/>
        <w:right w:val="none" w:sz="0" w:space="0" w:color="auto"/>
      </w:divBdr>
    </w:div>
    <w:div w:id="1169254437">
      <w:marLeft w:val="0"/>
      <w:marRight w:val="720"/>
      <w:marTop w:val="10"/>
      <w:marBottom w:val="10"/>
      <w:divBdr>
        <w:top w:val="none" w:sz="0" w:space="0" w:color="auto"/>
        <w:left w:val="none" w:sz="0" w:space="0" w:color="auto"/>
        <w:bottom w:val="none" w:sz="0" w:space="0" w:color="auto"/>
        <w:right w:val="none" w:sz="0" w:space="0" w:color="auto"/>
      </w:divBdr>
    </w:div>
    <w:div w:id="1176962562">
      <w:marLeft w:val="0"/>
      <w:marRight w:val="0"/>
      <w:marTop w:val="10"/>
      <w:marBottom w:val="10"/>
      <w:divBdr>
        <w:top w:val="none" w:sz="0" w:space="0" w:color="auto"/>
        <w:left w:val="none" w:sz="0" w:space="0" w:color="auto"/>
        <w:bottom w:val="none" w:sz="0" w:space="0" w:color="auto"/>
        <w:right w:val="none" w:sz="0" w:space="0" w:color="auto"/>
      </w:divBdr>
    </w:div>
    <w:div w:id="1185175181">
      <w:marLeft w:val="0"/>
      <w:marRight w:val="0"/>
      <w:marTop w:val="10"/>
      <w:marBottom w:val="10"/>
      <w:divBdr>
        <w:top w:val="none" w:sz="0" w:space="0" w:color="auto"/>
        <w:left w:val="none" w:sz="0" w:space="0" w:color="auto"/>
        <w:bottom w:val="none" w:sz="0" w:space="0" w:color="auto"/>
        <w:right w:val="none" w:sz="0" w:space="0" w:color="auto"/>
      </w:divBdr>
    </w:div>
    <w:div w:id="1272711193">
      <w:marLeft w:val="0"/>
      <w:marRight w:val="0"/>
      <w:marTop w:val="10"/>
      <w:marBottom w:val="10"/>
      <w:divBdr>
        <w:top w:val="none" w:sz="0" w:space="0" w:color="auto"/>
        <w:left w:val="none" w:sz="0" w:space="0" w:color="auto"/>
        <w:bottom w:val="none" w:sz="0" w:space="0" w:color="auto"/>
        <w:right w:val="none" w:sz="0" w:space="0" w:color="auto"/>
      </w:divBdr>
    </w:div>
    <w:div w:id="1504466737">
      <w:marLeft w:val="0"/>
      <w:marRight w:val="0"/>
      <w:marTop w:val="10"/>
      <w:marBottom w:val="10"/>
      <w:divBdr>
        <w:top w:val="none" w:sz="0" w:space="0" w:color="auto"/>
        <w:left w:val="none" w:sz="0" w:space="0" w:color="auto"/>
        <w:bottom w:val="none" w:sz="0" w:space="0" w:color="auto"/>
        <w:right w:val="none" w:sz="0" w:space="0" w:color="auto"/>
      </w:divBdr>
    </w:div>
    <w:div w:id="1505171176">
      <w:marLeft w:val="0"/>
      <w:marRight w:val="720"/>
      <w:marTop w:val="10"/>
      <w:marBottom w:val="10"/>
      <w:divBdr>
        <w:top w:val="none" w:sz="0" w:space="0" w:color="auto"/>
        <w:left w:val="none" w:sz="0" w:space="0" w:color="auto"/>
        <w:bottom w:val="none" w:sz="0" w:space="0" w:color="auto"/>
        <w:right w:val="none" w:sz="0" w:space="0" w:color="auto"/>
      </w:divBdr>
    </w:div>
    <w:div w:id="1597206986">
      <w:marLeft w:val="0"/>
      <w:marRight w:val="0"/>
      <w:marTop w:val="10"/>
      <w:marBottom w:val="10"/>
      <w:divBdr>
        <w:top w:val="none" w:sz="0" w:space="0" w:color="auto"/>
        <w:left w:val="none" w:sz="0" w:space="0" w:color="auto"/>
        <w:bottom w:val="none" w:sz="0" w:space="0" w:color="auto"/>
        <w:right w:val="none" w:sz="0" w:space="0" w:color="auto"/>
      </w:divBdr>
    </w:div>
    <w:div w:id="1740978905">
      <w:marLeft w:val="0"/>
      <w:marRight w:val="0"/>
      <w:marTop w:val="10"/>
      <w:marBottom w:val="10"/>
      <w:divBdr>
        <w:top w:val="none" w:sz="0" w:space="0" w:color="auto"/>
        <w:left w:val="none" w:sz="0" w:space="0" w:color="auto"/>
        <w:bottom w:val="none" w:sz="0" w:space="0" w:color="auto"/>
        <w:right w:val="none" w:sz="0" w:space="0" w:color="auto"/>
      </w:divBdr>
    </w:div>
    <w:div w:id="1797261812">
      <w:marLeft w:val="0"/>
      <w:marRight w:val="0"/>
      <w:marTop w:val="10"/>
      <w:marBottom w:val="10"/>
      <w:divBdr>
        <w:top w:val="none" w:sz="0" w:space="0" w:color="auto"/>
        <w:left w:val="none" w:sz="0" w:space="0" w:color="auto"/>
        <w:bottom w:val="none" w:sz="0" w:space="0" w:color="auto"/>
        <w:right w:val="none" w:sz="0" w:space="0" w:color="auto"/>
      </w:divBdr>
    </w:div>
    <w:div w:id="18770387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2025-04-30T07:00:00Z</dcterms:created>
  <dcterms:modified xsi:type="dcterms:W3CDTF">2025-04-30T07:00:00Z</dcterms:modified>
</cp:coreProperties>
</file>