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C22E" w14:textId="77777777" w:rsidR="00E93CBB" w:rsidRDefault="00E93CBB">
      <w:pPr>
        <w:spacing w:line="500" w:lineRule="atLeast"/>
        <w:jc w:val="center"/>
        <w:divId w:val="19936376"/>
        <w:rPr>
          <w:rFonts w:ascii="黑体" w:eastAsia="黑体" w:hAnsi="黑体"/>
          <w:sz w:val="36"/>
          <w:szCs w:val="36"/>
        </w:rPr>
      </w:pPr>
      <w:r>
        <w:rPr>
          <w:rFonts w:ascii="黑体" w:eastAsia="黑体" w:hAnsi="黑体" w:hint="eastAsia"/>
          <w:sz w:val="36"/>
          <w:szCs w:val="36"/>
        </w:rPr>
        <w:t>广东省广州市中级人民法院</w:t>
      </w:r>
    </w:p>
    <w:p w14:paraId="441F43A4" w14:textId="77777777" w:rsidR="00E93CBB" w:rsidRDefault="00E93CBB">
      <w:pPr>
        <w:spacing w:line="500" w:lineRule="atLeast"/>
        <w:jc w:val="center"/>
        <w:divId w:val="21123587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72B7C0" w14:textId="77777777" w:rsidR="00E93CBB" w:rsidRDefault="00E93CBB">
      <w:pPr>
        <w:spacing w:line="500" w:lineRule="atLeast"/>
        <w:jc w:val="right"/>
        <w:divId w:val="80755627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805</w:t>
      </w:r>
      <w:r>
        <w:rPr>
          <w:rFonts w:hint="eastAsia"/>
          <w:sz w:val="30"/>
          <w:szCs w:val="30"/>
        </w:rPr>
        <w:t>号</w:t>
      </w:r>
    </w:p>
    <w:p w14:paraId="12004467" w14:textId="77777777" w:rsidR="00E93CBB" w:rsidRDefault="00E93CBB">
      <w:pPr>
        <w:spacing w:line="500" w:lineRule="atLeast"/>
        <w:ind w:firstLine="600"/>
        <w:divId w:val="1148131069"/>
        <w:rPr>
          <w:rFonts w:hint="eastAsia"/>
          <w:sz w:val="30"/>
          <w:szCs w:val="30"/>
        </w:rPr>
      </w:pPr>
      <w:r>
        <w:rPr>
          <w:rFonts w:hint="eastAsia"/>
          <w:sz w:val="30"/>
          <w:szCs w:val="30"/>
        </w:rPr>
        <w:t>抗诉机关广州市荔湾区人民检察院。</w:t>
      </w:r>
    </w:p>
    <w:p w14:paraId="2F4CDC71" w14:textId="77777777" w:rsidR="00E93CBB" w:rsidRDefault="00E93CBB">
      <w:pPr>
        <w:spacing w:line="500" w:lineRule="atLeast"/>
        <w:ind w:firstLine="600"/>
        <w:divId w:val="1988513407"/>
        <w:rPr>
          <w:rFonts w:hint="eastAsia"/>
          <w:sz w:val="30"/>
          <w:szCs w:val="30"/>
        </w:rPr>
      </w:pPr>
      <w:r>
        <w:rPr>
          <w:rFonts w:hint="eastAsia"/>
          <w:sz w:val="30"/>
          <w:szCs w:val="30"/>
        </w:rPr>
        <w:t>原审被告人李颖妍，女，</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日出生，汉族，文化程度高中，原系广东省广州市荔湾区退休职工管理委员会办公室内勤，户籍地广州市荔湾区，住广州市荔湾区。因本案于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日被羁押，次日被刑事拘留，同月</w:t>
      </w:r>
      <w:r>
        <w:rPr>
          <w:rFonts w:hint="eastAsia"/>
          <w:sz w:val="30"/>
          <w:szCs w:val="30"/>
        </w:rPr>
        <w:t>30</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日变更强制措施为取保候审。</w:t>
      </w:r>
    </w:p>
    <w:p w14:paraId="32B1974B" w14:textId="77777777" w:rsidR="00E93CBB" w:rsidRDefault="00E93CBB">
      <w:pPr>
        <w:spacing w:line="500" w:lineRule="atLeast"/>
        <w:ind w:firstLine="600"/>
        <w:divId w:val="219097649"/>
        <w:rPr>
          <w:rFonts w:hint="eastAsia"/>
          <w:sz w:val="30"/>
          <w:szCs w:val="30"/>
        </w:rPr>
      </w:pPr>
      <w:r>
        <w:rPr>
          <w:rFonts w:hint="eastAsia"/>
          <w:sz w:val="30"/>
          <w:szCs w:val="30"/>
        </w:rPr>
        <w:t>辩护人揭利、陈文婷，广东金桥百信律师事务所律师。</w:t>
      </w:r>
    </w:p>
    <w:p w14:paraId="6205F395" w14:textId="77777777" w:rsidR="00E93CBB" w:rsidRDefault="00E93CBB">
      <w:pPr>
        <w:spacing w:line="500" w:lineRule="atLeast"/>
        <w:ind w:firstLine="600"/>
        <w:divId w:val="535197471"/>
        <w:rPr>
          <w:rFonts w:hint="eastAsia"/>
          <w:sz w:val="30"/>
          <w:szCs w:val="30"/>
        </w:rPr>
      </w:pPr>
      <w:r>
        <w:rPr>
          <w:rFonts w:hint="eastAsia"/>
          <w:sz w:val="30"/>
          <w:szCs w:val="30"/>
        </w:rPr>
        <w:t>广州市荔湾区人民法院审理广州市荔湾区人民检察院指控原审被告人李颖妍犯滥用职权罪、挪用公款罪、贪污罪一案，于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140</w:t>
      </w:r>
      <w:r>
        <w:rPr>
          <w:rFonts w:hint="eastAsia"/>
          <w:sz w:val="30"/>
          <w:szCs w:val="30"/>
        </w:rPr>
        <w:t>号刑事判决。宣判后，原公诉机关广州市荔湾区人民检察院提起抗诉。本院依法组成合议庭，公开开庭审理了本案。广州市人民检察院指派检察员尤桂敏出庭履行职务，原审被告人李颖妍及辩护人揭利到庭参加诉讼。现已审理终结。</w:t>
      </w:r>
    </w:p>
    <w:p w14:paraId="195E8515" w14:textId="77777777" w:rsidR="00E93CBB" w:rsidRDefault="00E93CBB">
      <w:pPr>
        <w:spacing w:line="500" w:lineRule="atLeast"/>
        <w:ind w:firstLine="600"/>
        <w:divId w:val="2129160666"/>
        <w:rPr>
          <w:rFonts w:hint="eastAsia"/>
          <w:sz w:val="30"/>
          <w:szCs w:val="30"/>
        </w:rPr>
      </w:pPr>
      <w:r>
        <w:rPr>
          <w:rFonts w:hint="eastAsia"/>
          <w:sz w:val="30"/>
          <w:szCs w:val="30"/>
        </w:rPr>
        <w:t>原审判决认定：</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李颖妍在任职于广州市荔湾区退休职工管理委员会办公室（以下简称荔湾区退管办）后勤管理岗位期间，在时任广州市荔湾区退休职工管理委员会办公室主任陈志荣（另案处理）的授意下，伙同陈某荣滥用负责管理特殊退休人员的特殊困难救助金、丧葬费抚恤金等款项的职权，挪用上述款项。截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月止，尚有人民币</w:t>
      </w:r>
      <w:r>
        <w:rPr>
          <w:rFonts w:hint="eastAsia"/>
          <w:sz w:val="30"/>
          <w:szCs w:val="30"/>
        </w:rPr>
        <w:t>2619627.39</w:t>
      </w:r>
      <w:r>
        <w:rPr>
          <w:rFonts w:hint="eastAsia"/>
          <w:sz w:val="30"/>
          <w:szCs w:val="30"/>
        </w:rPr>
        <w:t>元（以下币种均为人民币）未归还。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日，被告人李颖妍向广州市荔湾区人民检察院投案。</w:t>
      </w:r>
    </w:p>
    <w:p w14:paraId="5A2423F6" w14:textId="77777777" w:rsidR="00E93CBB" w:rsidRDefault="00E93CBB">
      <w:pPr>
        <w:spacing w:line="500" w:lineRule="atLeast"/>
        <w:ind w:firstLine="600"/>
        <w:divId w:val="1873036300"/>
        <w:rPr>
          <w:rFonts w:hint="eastAsia"/>
          <w:sz w:val="30"/>
          <w:szCs w:val="30"/>
        </w:rPr>
      </w:pPr>
      <w:r>
        <w:rPr>
          <w:rFonts w:hint="eastAsia"/>
          <w:sz w:val="30"/>
          <w:szCs w:val="30"/>
        </w:rPr>
        <w:t>原审认定上述事实，有经原审庭审举证、质证的下列证据证实：立案决定书、破案经过；事业单位法人证书等材料；劳</w:t>
      </w:r>
      <w:r>
        <w:rPr>
          <w:rFonts w:hint="eastAsia"/>
          <w:sz w:val="30"/>
          <w:szCs w:val="30"/>
        </w:rPr>
        <w:lastRenderedPageBreak/>
        <w:t>动合同、劳动力资源登记表、荔湾区退管办岗位职责资料、干部任免审批表等材料；荔湾区退管办出具的《关于特殊人员存折保管与资金来源的说明》；银行账户历史明细清单、业务凭证、对账单等资料；荔湾区退管办</w:t>
      </w:r>
      <w:r>
        <w:rPr>
          <w:rFonts w:hint="eastAsia"/>
          <w:sz w:val="30"/>
          <w:szCs w:val="30"/>
        </w:rPr>
        <w:t>07</w:t>
      </w:r>
      <w:r>
        <w:rPr>
          <w:rFonts w:hint="eastAsia"/>
          <w:sz w:val="30"/>
          <w:szCs w:val="30"/>
        </w:rPr>
        <w:t>年至今保管的存折信息、退休人员个人信息表等；记账凭证、死亡人员丧葬抚恤金发放表、退休职工客户明细清单等资料；特殊人员死亡沉淀金、特殊人员周转金台账、荔湾区安置的特殊退休人员遗产去向表等；记账凭证、发票、请示等资料；个人名下房地产登记情况查询证明；搜查笔录及扣押清单；证人梁某、涂某、江某、许某、张某、徐某的证言；同案人陈某荣、被告人李颖妍的供述与辩解；广州银粤会计师事务所有限公司银粤专字</w:t>
      </w:r>
      <w:r>
        <w:rPr>
          <w:rFonts w:hint="eastAsia"/>
          <w:sz w:val="30"/>
          <w:szCs w:val="30"/>
        </w:rPr>
        <w:t>[2017]1051</w:t>
      </w:r>
      <w:r>
        <w:rPr>
          <w:rFonts w:hint="eastAsia"/>
          <w:sz w:val="30"/>
          <w:szCs w:val="30"/>
        </w:rPr>
        <w:t>号司法会计鉴定报告等。</w:t>
      </w:r>
    </w:p>
    <w:p w14:paraId="37846A16" w14:textId="77777777" w:rsidR="00E93CBB" w:rsidRDefault="00E93CBB">
      <w:pPr>
        <w:spacing w:line="500" w:lineRule="atLeast"/>
        <w:ind w:firstLine="600"/>
        <w:divId w:val="704332544"/>
        <w:rPr>
          <w:rFonts w:hint="eastAsia"/>
          <w:sz w:val="30"/>
          <w:szCs w:val="30"/>
        </w:rPr>
      </w:pPr>
      <w:r>
        <w:rPr>
          <w:rFonts w:hint="eastAsia"/>
          <w:sz w:val="30"/>
          <w:szCs w:val="30"/>
        </w:rPr>
        <w:t>原审法院认为，被告人李颖妍无视国家法律，滥用职权，致使人民利益遭受重大损失，情节特别严重，其行为已构成滥用职权罪，依法应予以惩处。李颖妍在犯罪后主动投案，并如实供述自己的犯罪事实，是自首，依法可以减轻处罚。依照《中华人民共和国刑法》第三百九十七条第一款、第六十七条第一款之规定，判决如下：被告人李颖妍犯滥用职权罪，判处有期徒刑二年。</w:t>
      </w:r>
    </w:p>
    <w:p w14:paraId="6DE6A009" w14:textId="77777777" w:rsidR="00E93CBB" w:rsidRDefault="00E93CBB">
      <w:pPr>
        <w:spacing w:line="500" w:lineRule="atLeast"/>
        <w:ind w:firstLine="600"/>
        <w:divId w:val="1882013460"/>
        <w:rPr>
          <w:rFonts w:hint="eastAsia"/>
          <w:sz w:val="30"/>
          <w:szCs w:val="30"/>
        </w:rPr>
      </w:pPr>
      <w:r>
        <w:rPr>
          <w:rFonts w:hint="eastAsia"/>
          <w:sz w:val="30"/>
          <w:szCs w:val="30"/>
        </w:rPr>
        <w:t>广州市荔湾区人民检察院抗诉意见为：原审判决认定事实有误，适用法律不当，导致量刑畸轻。本案涉案款项性质应以公共财产论；应认定李颖妍构成挪用公款罪、贪污罪。</w:t>
      </w:r>
    </w:p>
    <w:p w14:paraId="43967580" w14:textId="77777777" w:rsidR="00E93CBB" w:rsidRDefault="00E93CBB">
      <w:pPr>
        <w:spacing w:line="500" w:lineRule="atLeast"/>
        <w:ind w:firstLine="600"/>
        <w:divId w:val="228809031"/>
        <w:rPr>
          <w:rFonts w:hint="eastAsia"/>
          <w:sz w:val="30"/>
          <w:szCs w:val="30"/>
        </w:rPr>
      </w:pPr>
      <w:r>
        <w:rPr>
          <w:rFonts w:hint="eastAsia"/>
          <w:sz w:val="30"/>
          <w:szCs w:val="30"/>
        </w:rPr>
        <w:t>广州市人民检察院支持抗诉意见为：李颖妍的行为构成挪用公款罪，原判认定李颖妍挪用的款项不是公款，不构成挪用公款罪确属错误。原判认定广州市荔湾区退管办代为管理的特殊退休人员的个人资金属于特殊退休人员的私人财产，不能以公共财产论或公款论，属认定事实错误。</w:t>
      </w:r>
    </w:p>
    <w:p w14:paraId="7E268FA1" w14:textId="77777777" w:rsidR="00E93CBB" w:rsidRDefault="00E93CBB">
      <w:pPr>
        <w:spacing w:line="500" w:lineRule="atLeast"/>
        <w:ind w:firstLine="600"/>
        <w:divId w:val="219750525"/>
        <w:rPr>
          <w:rFonts w:hint="eastAsia"/>
          <w:sz w:val="30"/>
          <w:szCs w:val="30"/>
        </w:rPr>
      </w:pPr>
      <w:r>
        <w:rPr>
          <w:rFonts w:hint="eastAsia"/>
          <w:sz w:val="30"/>
          <w:szCs w:val="30"/>
        </w:rPr>
        <w:t>原审被告人李颖妍辩称：原审判决认定涉案款项不是公款定性准确，其不构成挪用公款罪。其没有多次将发票的款项转到江海铝合金店，只是陈某荣叫我将发票取回来给他，陈某荣如何处理其不清楚也未直接参与。其只是后勤人员，不是会计。</w:t>
      </w:r>
    </w:p>
    <w:p w14:paraId="2861156A" w14:textId="77777777" w:rsidR="00E93CBB" w:rsidRDefault="00E93CBB">
      <w:pPr>
        <w:spacing w:line="500" w:lineRule="atLeast"/>
        <w:ind w:firstLine="600"/>
        <w:divId w:val="202338855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涉案资金不应以公共财产论，挪用上述资金不构成挪用公款罪或贪污罪。</w:t>
      </w:r>
      <w:r>
        <w:rPr>
          <w:rFonts w:hint="eastAsia"/>
          <w:sz w:val="30"/>
          <w:szCs w:val="30"/>
        </w:rPr>
        <w:t>2.</w:t>
      </w:r>
      <w:r>
        <w:rPr>
          <w:rFonts w:hint="eastAsia"/>
          <w:sz w:val="30"/>
          <w:szCs w:val="30"/>
        </w:rPr>
        <w:t>李颖妍不构成贪污罪。陈某荣利用李颖妍的正常工作行为帮助他虚开发票套取报销，李颖妍仅是根据陈某荣的指示去取回发票，并不知道发票的交易是否有真实发生，也不知道报销款的去向，李颖妍与陈某荣之间没有共同贪污故意。建议维持原判。</w:t>
      </w:r>
    </w:p>
    <w:p w14:paraId="2F7F5C26" w14:textId="77777777" w:rsidR="00E93CBB" w:rsidRDefault="00E93CBB">
      <w:pPr>
        <w:spacing w:line="500" w:lineRule="atLeast"/>
        <w:ind w:firstLine="600"/>
        <w:divId w:val="174030343"/>
        <w:rPr>
          <w:rFonts w:hint="eastAsia"/>
          <w:sz w:val="30"/>
          <w:szCs w:val="30"/>
        </w:rPr>
      </w:pPr>
      <w:r>
        <w:rPr>
          <w:rFonts w:hint="eastAsia"/>
          <w:sz w:val="30"/>
          <w:szCs w:val="30"/>
        </w:rPr>
        <w:t>本院经审理查明：</w:t>
      </w: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年，原审被告人李颖妍在荔湾区退管办后勤管理岗位工作。</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陈某荣利用担任荔湾区退管办主任，负责管理特殊退休人员的养老、医疗、补助、丧葬费、抚恤金等款项的职务便利，先后多次指使李颖妍将上述代为管理的款项挪用归个人使用。经审计，陈某荣挪用公款进行股票投资</w:t>
      </w:r>
      <w:r>
        <w:rPr>
          <w:rFonts w:hint="eastAsia"/>
          <w:sz w:val="30"/>
          <w:szCs w:val="30"/>
        </w:rPr>
        <w:t>4611900</w:t>
      </w:r>
      <w:r>
        <w:rPr>
          <w:rFonts w:hint="eastAsia"/>
          <w:sz w:val="30"/>
          <w:szCs w:val="30"/>
        </w:rPr>
        <w:t>元，购买基金</w:t>
      </w:r>
      <w:r>
        <w:rPr>
          <w:rFonts w:hint="eastAsia"/>
          <w:sz w:val="30"/>
          <w:szCs w:val="30"/>
        </w:rPr>
        <w:t>74000</w:t>
      </w:r>
      <w:r>
        <w:rPr>
          <w:rFonts w:hint="eastAsia"/>
          <w:sz w:val="30"/>
          <w:szCs w:val="30"/>
        </w:rPr>
        <w:t>元，购买房产等</w:t>
      </w:r>
      <w:r>
        <w:rPr>
          <w:rFonts w:hint="eastAsia"/>
          <w:sz w:val="30"/>
          <w:szCs w:val="30"/>
        </w:rPr>
        <w:t>2709572</w:t>
      </w:r>
      <w:r>
        <w:rPr>
          <w:rFonts w:hint="eastAsia"/>
          <w:sz w:val="30"/>
          <w:szCs w:val="30"/>
        </w:rPr>
        <w:t>元，以上挪用公款进行营利活动的款项累计</w:t>
      </w:r>
      <w:r>
        <w:rPr>
          <w:rFonts w:hint="eastAsia"/>
          <w:sz w:val="30"/>
          <w:szCs w:val="30"/>
        </w:rPr>
        <w:t>7395472</w:t>
      </w:r>
      <w:r>
        <w:rPr>
          <w:rFonts w:hint="eastAsia"/>
          <w:sz w:val="30"/>
          <w:szCs w:val="30"/>
        </w:rPr>
        <w:t>元。截止至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月，尚有人民币</w:t>
      </w:r>
      <w:r>
        <w:rPr>
          <w:rFonts w:hint="eastAsia"/>
          <w:sz w:val="30"/>
          <w:szCs w:val="30"/>
        </w:rPr>
        <w:t>2619627.39</w:t>
      </w:r>
      <w:r>
        <w:rPr>
          <w:rFonts w:hint="eastAsia"/>
          <w:sz w:val="30"/>
          <w:szCs w:val="30"/>
        </w:rPr>
        <w:t>元未归还，其中</w:t>
      </w:r>
      <w:r>
        <w:rPr>
          <w:rFonts w:hint="eastAsia"/>
          <w:sz w:val="30"/>
          <w:szCs w:val="30"/>
        </w:rPr>
        <w:t>1256161.11</w:t>
      </w:r>
      <w:r>
        <w:rPr>
          <w:rFonts w:hint="eastAsia"/>
          <w:sz w:val="30"/>
          <w:szCs w:val="30"/>
        </w:rPr>
        <w:t>元仍存放于投资股票账户。案发后，侦查机关扣押了陈某荣的款项</w:t>
      </w:r>
      <w:r>
        <w:rPr>
          <w:rFonts w:hint="eastAsia"/>
          <w:sz w:val="30"/>
          <w:szCs w:val="30"/>
        </w:rPr>
        <w:t>128700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日，李颖妍向广州市荔湾区人民检察院投案。</w:t>
      </w:r>
    </w:p>
    <w:p w14:paraId="43FEF313" w14:textId="77777777" w:rsidR="00E93CBB" w:rsidRDefault="00E93CBB">
      <w:pPr>
        <w:spacing w:line="500" w:lineRule="atLeast"/>
        <w:ind w:firstLine="600"/>
        <w:divId w:val="2068526261"/>
        <w:rPr>
          <w:rFonts w:hint="eastAsia"/>
          <w:sz w:val="30"/>
          <w:szCs w:val="30"/>
        </w:rPr>
      </w:pPr>
      <w:r>
        <w:rPr>
          <w:rFonts w:hint="eastAsia"/>
          <w:sz w:val="30"/>
          <w:szCs w:val="30"/>
        </w:rPr>
        <w:t>认定本案犯罪事实的证据，有原公诉机关在原审庭审当庭宣读、出示并经质证的上列证据予以证实，本院予以确认。</w:t>
      </w:r>
    </w:p>
    <w:p w14:paraId="26BFEE81" w14:textId="77777777" w:rsidR="00E93CBB" w:rsidRDefault="00E93CBB">
      <w:pPr>
        <w:spacing w:line="500" w:lineRule="atLeast"/>
        <w:ind w:firstLine="600"/>
        <w:divId w:val="600340606"/>
        <w:rPr>
          <w:rFonts w:hint="eastAsia"/>
          <w:sz w:val="30"/>
          <w:szCs w:val="30"/>
        </w:rPr>
      </w:pPr>
      <w:r>
        <w:rPr>
          <w:rFonts w:hint="eastAsia"/>
          <w:sz w:val="30"/>
          <w:szCs w:val="30"/>
        </w:rPr>
        <w:t>针对广州市荔湾区人民检察院的抗诉意见和广州市人民检察院的支持抗诉意见，根据本案的事实和证据，依照法律规定，本院评判意见如下：</w:t>
      </w:r>
    </w:p>
    <w:p w14:paraId="2C2D9318" w14:textId="77777777" w:rsidR="00E93CBB" w:rsidRDefault="00E93CBB">
      <w:pPr>
        <w:spacing w:line="500" w:lineRule="atLeast"/>
        <w:ind w:firstLine="600"/>
        <w:divId w:val="757944118"/>
        <w:rPr>
          <w:rFonts w:hint="eastAsia"/>
          <w:sz w:val="30"/>
          <w:szCs w:val="30"/>
        </w:rPr>
      </w:pPr>
      <w:r>
        <w:rPr>
          <w:rFonts w:hint="eastAsia"/>
          <w:sz w:val="30"/>
          <w:szCs w:val="30"/>
        </w:rPr>
        <w:t>1.</w:t>
      </w:r>
      <w:r>
        <w:rPr>
          <w:rFonts w:hint="eastAsia"/>
          <w:sz w:val="30"/>
          <w:szCs w:val="30"/>
        </w:rPr>
        <w:t>关于陈某荣、李颖妍挪用的资金性质。经查，荔湾区退管办为荔湾区人社局属下财政全资拨款的事业单位，根据广州市退管办的工作安排，荔湾区退管办对特殊退休人员的个人资金负有代为管理的职权。荔湾区退管办代为管理特殊退休人员的养老费、慰问金、长寿金、特困补助金、死亡沉淀金等资金，相关资金主要来源于财政部门及移交单位筹集的经费，依照《中华人民共和国刑法》第九十一条的规定，应以公共财产论。原审法院认为上述资金不能以公共财产论与法律规定不符，本院不予采纳。</w:t>
      </w:r>
    </w:p>
    <w:p w14:paraId="6B70DD74" w14:textId="77777777" w:rsidR="00E93CBB" w:rsidRDefault="00E93CBB">
      <w:pPr>
        <w:spacing w:line="500" w:lineRule="atLeast"/>
        <w:ind w:firstLine="600"/>
        <w:divId w:val="1842086357"/>
        <w:rPr>
          <w:rFonts w:hint="eastAsia"/>
          <w:sz w:val="30"/>
          <w:szCs w:val="30"/>
        </w:rPr>
      </w:pPr>
      <w:r>
        <w:rPr>
          <w:rFonts w:hint="eastAsia"/>
          <w:sz w:val="30"/>
          <w:szCs w:val="30"/>
        </w:rPr>
        <w:t>2.</w:t>
      </w:r>
      <w:r>
        <w:rPr>
          <w:rFonts w:hint="eastAsia"/>
          <w:sz w:val="30"/>
          <w:szCs w:val="30"/>
        </w:rPr>
        <w:t>关于李颖妍的行为定性。经查，陈某荣、李颖妍的供述证实，李颖妍作为荔湾区退管办的后勤管理人员，受荔湾区退管办主任陈某荣的指使，违反管理规定，使用多个银行账户、退管办其他员工的银行账户，以及个别特殊退休人员的账户作为“蓄水池”，将荔湾区退管办管理的资金挪用出来归陈某荣个人使用，用于陈某荣个人炒股、购买理财产品等营利活动等用途。现有证据足以证实李颖妍与陈某荣具有挪用公款的共同故意。陈某荣利用职务便利指使李颖妍挪用公款的行为，符合挪用公款罪的犯罪构成要件，依法应当以挪用公款罪一罪论处。原判认定李颖妍构成滥用职权罪定性有误，应予纠正。对于陈某荣所犯贪污罪部分，李颖妍在主观上不具有帮助陈某荣贪污的主观故意，不能认定为贪污罪的共犯。</w:t>
      </w:r>
    </w:p>
    <w:p w14:paraId="63EC8DE5" w14:textId="77777777" w:rsidR="00E93CBB" w:rsidRDefault="00E93CBB">
      <w:pPr>
        <w:spacing w:line="500" w:lineRule="atLeast"/>
        <w:ind w:firstLine="600"/>
        <w:divId w:val="1672563225"/>
        <w:rPr>
          <w:rFonts w:hint="eastAsia"/>
          <w:sz w:val="30"/>
          <w:szCs w:val="30"/>
        </w:rPr>
      </w:pPr>
      <w:r>
        <w:rPr>
          <w:rFonts w:hint="eastAsia"/>
          <w:sz w:val="30"/>
          <w:szCs w:val="30"/>
        </w:rPr>
        <w:t>3.</w:t>
      </w:r>
      <w:r>
        <w:rPr>
          <w:rFonts w:hint="eastAsia"/>
          <w:sz w:val="30"/>
          <w:szCs w:val="30"/>
        </w:rPr>
        <w:t>关于李颖妍在共同犯罪中的地位、作用。经查，李颖妍作为荔湾区退管办的职工，受退管办主任陈某荣的指使挪用公款，在共同犯罪中起次要或辅助作用，应认定为从犯。原判关于李颖妍不构成从犯的认定有误，本院予以纠正。</w:t>
      </w:r>
    </w:p>
    <w:p w14:paraId="050C739F" w14:textId="77777777" w:rsidR="00E93CBB" w:rsidRDefault="00E93CBB">
      <w:pPr>
        <w:spacing w:line="500" w:lineRule="atLeast"/>
        <w:ind w:firstLine="600"/>
        <w:divId w:val="1158807594"/>
        <w:rPr>
          <w:rFonts w:hint="eastAsia"/>
          <w:sz w:val="30"/>
          <w:szCs w:val="30"/>
        </w:rPr>
      </w:pPr>
      <w:r>
        <w:rPr>
          <w:rFonts w:hint="eastAsia"/>
          <w:sz w:val="30"/>
          <w:szCs w:val="30"/>
        </w:rPr>
        <w:t>4</w:t>
      </w:r>
      <w:r>
        <w:rPr>
          <w:rFonts w:hint="eastAsia"/>
          <w:sz w:val="30"/>
          <w:szCs w:val="30"/>
        </w:rPr>
        <w:t>关于量刑。经查，李颖妍受陈某荣指使，挪用的全部公款均归陈某荣个人使用，李颖妍本人未占有上述款项或从中获利。根据罪责刑相适应原则，原审法院判处李颖妍有期徒刑两年，量刑适当。抗诉机关提出原判量刑畸轻的意见依法不能成立，本院不予采纳。</w:t>
      </w:r>
    </w:p>
    <w:p w14:paraId="49BC3DAE" w14:textId="77777777" w:rsidR="00E93CBB" w:rsidRDefault="00E93CBB">
      <w:pPr>
        <w:spacing w:line="500" w:lineRule="atLeast"/>
        <w:ind w:firstLine="600"/>
        <w:divId w:val="1652127700"/>
        <w:rPr>
          <w:rFonts w:hint="eastAsia"/>
          <w:sz w:val="30"/>
          <w:szCs w:val="30"/>
        </w:rPr>
      </w:pPr>
      <w:r>
        <w:rPr>
          <w:rFonts w:hint="eastAsia"/>
          <w:sz w:val="30"/>
          <w:szCs w:val="30"/>
        </w:rPr>
        <w:t>本院认为，原审被告人李颖妍身为国家工作人员，受同案人指使，利用职务上的便利，多次挪用公款归个人使用，进行营利活动，情节严重，其行为已构成挪用公款罪。原审判决认定李颖妍犯滥用职权罪以及未认定构成挪用公款罪，系适用法律不当，广州市人民检察院支持抗诉意见符合法律规定，本院予以采纳。李颖妍挪用的公款属于特殊人员养老、医疗等优抚款，依法应当对其从重处罚。李颖妍在共同犯罪中起次要或辅助作用，是从犯，应当从轻或者减轻处罚。李颖妍犯罪后自动投案，如实供述犯罪事实，是自首，可以从轻或者减轻处罚。鉴于同案人在案发前已归还大部分挪用款项，案发后扣押了部分挪用款项，对于李颖妍可以酌情从轻处罚。李颖妍及辩护人请求维持原判量刑结果的意见有理，本院予以采纳。根据李颖妍犯罪的事实、犯罪的性质、情节和对于社会的危害程度，依照《中华人民共和国刑事诉讼法》第二百三十六条第一款第（三）项以及《中华人民共和国刑法》第三百八十四条、《最高人民法院关于审理挪用公款案件具体应用法律若干问题的解释》第四条、《最高人民法院、最高人民检察院关于办理贪污贿赂刑事案件适用法律若干问题的解释》第六条之规定，判决如下：</w:t>
      </w:r>
    </w:p>
    <w:p w14:paraId="55970869" w14:textId="77777777" w:rsidR="00E93CBB" w:rsidRDefault="00E93CBB">
      <w:pPr>
        <w:spacing w:line="500" w:lineRule="atLeast"/>
        <w:ind w:firstLine="600"/>
        <w:divId w:val="897276613"/>
        <w:rPr>
          <w:rFonts w:hint="eastAsia"/>
          <w:sz w:val="30"/>
          <w:szCs w:val="30"/>
        </w:rPr>
      </w:pPr>
      <w:r>
        <w:rPr>
          <w:rFonts w:hint="eastAsia"/>
          <w:sz w:val="30"/>
          <w:szCs w:val="30"/>
        </w:rPr>
        <w:t>一、撤销广州市荔湾区人民法院（</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140</w:t>
      </w:r>
      <w:r>
        <w:rPr>
          <w:rFonts w:hint="eastAsia"/>
          <w:sz w:val="30"/>
          <w:szCs w:val="30"/>
        </w:rPr>
        <w:t>号刑事判决关于原审被告人李颖妍犯滥用职权罪的判项。</w:t>
      </w:r>
    </w:p>
    <w:p w14:paraId="1E2A99EF" w14:textId="77777777" w:rsidR="00E93CBB" w:rsidRDefault="00E93CBB">
      <w:pPr>
        <w:spacing w:line="500" w:lineRule="atLeast"/>
        <w:ind w:firstLine="600"/>
        <w:divId w:val="1441484884"/>
        <w:rPr>
          <w:rFonts w:hint="eastAsia"/>
          <w:sz w:val="30"/>
          <w:szCs w:val="30"/>
        </w:rPr>
      </w:pPr>
      <w:r>
        <w:rPr>
          <w:rFonts w:hint="eastAsia"/>
          <w:sz w:val="30"/>
          <w:szCs w:val="30"/>
        </w:rPr>
        <w:t>二、原审被告人李颖妍犯挪用公款罪，判处有期徒刑二年。</w:t>
      </w:r>
    </w:p>
    <w:p w14:paraId="63602DFA" w14:textId="77777777" w:rsidR="00E93CBB" w:rsidRDefault="00E93CBB">
      <w:pPr>
        <w:spacing w:line="500" w:lineRule="atLeast"/>
        <w:ind w:firstLine="600"/>
        <w:divId w:val="108155834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w:t>
      </w:r>
    </w:p>
    <w:p w14:paraId="7BD0CCF2" w14:textId="77777777" w:rsidR="00E93CBB" w:rsidRDefault="00E93CBB">
      <w:pPr>
        <w:spacing w:line="500" w:lineRule="atLeast"/>
        <w:ind w:firstLine="600"/>
        <w:divId w:val="1732727744"/>
        <w:rPr>
          <w:rFonts w:hint="eastAsia"/>
          <w:sz w:val="30"/>
          <w:szCs w:val="30"/>
        </w:rPr>
      </w:pPr>
      <w:r>
        <w:rPr>
          <w:rFonts w:hint="eastAsia"/>
          <w:sz w:val="30"/>
          <w:szCs w:val="30"/>
        </w:rPr>
        <w:t>本判决为终审判决。</w:t>
      </w:r>
    </w:p>
    <w:p w14:paraId="14536D28" w14:textId="77777777" w:rsidR="00E93CBB" w:rsidRDefault="00E93CBB">
      <w:pPr>
        <w:spacing w:line="500" w:lineRule="atLeast"/>
        <w:jc w:val="right"/>
        <w:divId w:val="466169572"/>
        <w:rPr>
          <w:rFonts w:hint="eastAsia"/>
          <w:sz w:val="30"/>
          <w:szCs w:val="30"/>
        </w:rPr>
      </w:pPr>
      <w:r>
        <w:rPr>
          <w:rFonts w:hint="eastAsia"/>
          <w:sz w:val="30"/>
          <w:szCs w:val="30"/>
        </w:rPr>
        <w:t>审判长　　曹治华</w:t>
      </w:r>
    </w:p>
    <w:p w14:paraId="5F8F5A24" w14:textId="77777777" w:rsidR="00E93CBB" w:rsidRDefault="00E93CBB">
      <w:pPr>
        <w:spacing w:line="500" w:lineRule="atLeast"/>
        <w:jc w:val="right"/>
        <w:divId w:val="2138915060"/>
        <w:rPr>
          <w:rFonts w:hint="eastAsia"/>
          <w:sz w:val="30"/>
          <w:szCs w:val="30"/>
        </w:rPr>
      </w:pPr>
      <w:r>
        <w:rPr>
          <w:rFonts w:hint="eastAsia"/>
          <w:sz w:val="30"/>
          <w:szCs w:val="30"/>
        </w:rPr>
        <w:t>审判员　　许媛媛</w:t>
      </w:r>
    </w:p>
    <w:p w14:paraId="19820347" w14:textId="77777777" w:rsidR="00E93CBB" w:rsidRDefault="00E93CBB">
      <w:pPr>
        <w:spacing w:line="500" w:lineRule="atLeast"/>
        <w:jc w:val="right"/>
        <w:divId w:val="1614748268"/>
        <w:rPr>
          <w:rFonts w:hint="eastAsia"/>
          <w:sz w:val="30"/>
          <w:szCs w:val="30"/>
        </w:rPr>
      </w:pPr>
      <w:r>
        <w:rPr>
          <w:rFonts w:hint="eastAsia"/>
          <w:sz w:val="30"/>
          <w:szCs w:val="30"/>
        </w:rPr>
        <w:t>审判员　　徐建军</w:t>
      </w:r>
    </w:p>
    <w:p w14:paraId="2BC4795C" w14:textId="77777777" w:rsidR="00E93CBB" w:rsidRDefault="00E93CBB">
      <w:pPr>
        <w:spacing w:line="500" w:lineRule="atLeast"/>
        <w:jc w:val="right"/>
        <w:divId w:val="649597810"/>
        <w:rPr>
          <w:rFonts w:hint="eastAsia"/>
          <w:sz w:val="30"/>
          <w:szCs w:val="30"/>
        </w:rPr>
      </w:pPr>
      <w:r>
        <w:rPr>
          <w:rFonts w:hint="eastAsia"/>
          <w:sz w:val="30"/>
          <w:szCs w:val="30"/>
        </w:rPr>
        <w:t>二〇一九年十二月十日</w:t>
      </w:r>
    </w:p>
    <w:p w14:paraId="2B708B99" w14:textId="77777777" w:rsidR="00E93CBB" w:rsidRDefault="00E93CBB">
      <w:pPr>
        <w:spacing w:line="500" w:lineRule="atLeast"/>
        <w:jc w:val="right"/>
        <w:divId w:val="2073572947"/>
        <w:rPr>
          <w:rFonts w:hint="eastAsia"/>
          <w:sz w:val="30"/>
          <w:szCs w:val="30"/>
        </w:rPr>
      </w:pPr>
      <w:r>
        <w:rPr>
          <w:rFonts w:hint="eastAsia"/>
          <w:sz w:val="30"/>
          <w:szCs w:val="30"/>
        </w:rPr>
        <w:t>书记员　　谢韵静</w:t>
      </w:r>
    </w:p>
    <w:p w14:paraId="17A849DF" w14:textId="77777777" w:rsidR="00E93CBB" w:rsidRDefault="00E93CBB">
      <w:pPr>
        <w:spacing w:line="500" w:lineRule="atLeast"/>
        <w:ind w:firstLine="600"/>
        <w:divId w:val="802187498"/>
        <w:rPr>
          <w:rFonts w:hint="eastAsia"/>
          <w:sz w:val="30"/>
          <w:szCs w:val="30"/>
        </w:rPr>
      </w:pPr>
      <w:r>
        <w:rPr>
          <w:rFonts w:hint="eastAsia"/>
          <w:sz w:val="30"/>
          <w:szCs w:val="30"/>
        </w:rPr>
        <w:t>罗家明</w:t>
      </w:r>
    </w:p>
    <w:p w14:paraId="2E26A8F5" w14:textId="77777777" w:rsidR="00E93CBB" w:rsidRDefault="00E93CBB">
      <w:pPr>
        <w:spacing w:line="500" w:lineRule="atLeast"/>
        <w:ind w:firstLine="600"/>
        <w:divId w:val="14740489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A47E" w14:textId="77777777" w:rsidR="000339E1" w:rsidRDefault="000339E1" w:rsidP="000339E1">
      <w:pPr>
        <w:rPr>
          <w:rFonts w:hint="eastAsia"/>
        </w:rPr>
      </w:pPr>
      <w:r>
        <w:separator/>
      </w:r>
    </w:p>
  </w:endnote>
  <w:endnote w:type="continuationSeparator" w:id="0">
    <w:p w14:paraId="0428BCDB" w14:textId="77777777" w:rsidR="000339E1" w:rsidRDefault="000339E1" w:rsidP="000339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6509" w14:textId="77777777" w:rsidR="000339E1" w:rsidRDefault="000339E1" w:rsidP="000339E1">
      <w:pPr>
        <w:rPr>
          <w:rFonts w:hint="eastAsia"/>
        </w:rPr>
      </w:pPr>
      <w:r>
        <w:separator/>
      </w:r>
    </w:p>
  </w:footnote>
  <w:footnote w:type="continuationSeparator" w:id="0">
    <w:p w14:paraId="23A47CC3" w14:textId="77777777" w:rsidR="000339E1" w:rsidRDefault="000339E1" w:rsidP="000339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39E1"/>
    <w:rsid w:val="000339E1"/>
    <w:rsid w:val="00A23C24"/>
    <w:rsid w:val="00E93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9A4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39E1"/>
    <w:pPr>
      <w:tabs>
        <w:tab w:val="center" w:pos="4153"/>
        <w:tab w:val="right" w:pos="8306"/>
      </w:tabs>
      <w:snapToGrid w:val="0"/>
      <w:jc w:val="center"/>
    </w:pPr>
    <w:rPr>
      <w:sz w:val="18"/>
      <w:szCs w:val="18"/>
    </w:rPr>
  </w:style>
  <w:style w:type="character" w:customStyle="1" w:styleId="a4">
    <w:name w:val="页眉 字符"/>
    <w:basedOn w:val="a0"/>
    <w:link w:val="a3"/>
    <w:uiPriority w:val="99"/>
    <w:rsid w:val="000339E1"/>
    <w:rPr>
      <w:rFonts w:ascii="宋体" w:eastAsia="宋体" w:hAnsi="宋体" w:cs="宋体"/>
      <w:sz w:val="18"/>
      <w:szCs w:val="18"/>
    </w:rPr>
  </w:style>
  <w:style w:type="paragraph" w:styleId="a5">
    <w:name w:val="footer"/>
    <w:basedOn w:val="a"/>
    <w:link w:val="a6"/>
    <w:uiPriority w:val="99"/>
    <w:unhideWhenUsed/>
    <w:rsid w:val="000339E1"/>
    <w:pPr>
      <w:tabs>
        <w:tab w:val="center" w:pos="4153"/>
        <w:tab w:val="right" w:pos="8306"/>
      </w:tabs>
      <w:snapToGrid w:val="0"/>
    </w:pPr>
    <w:rPr>
      <w:sz w:val="18"/>
      <w:szCs w:val="18"/>
    </w:rPr>
  </w:style>
  <w:style w:type="character" w:customStyle="1" w:styleId="a6">
    <w:name w:val="页脚 字符"/>
    <w:basedOn w:val="a0"/>
    <w:link w:val="a5"/>
    <w:uiPriority w:val="99"/>
    <w:rsid w:val="000339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376">
      <w:marLeft w:val="0"/>
      <w:marRight w:val="0"/>
      <w:marTop w:val="10"/>
      <w:marBottom w:val="10"/>
      <w:divBdr>
        <w:top w:val="none" w:sz="0" w:space="0" w:color="auto"/>
        <w:left w:val="none" w:sz="0" w:space="0" w:color="auto"/>
        <w:bottom w:val="none" w:sz="0" w:space="0" w:color="auto"/>
        <w:right w:val="none" w:sz="0" w:space="0" w:color="auto"/>
      </w:divBdr>
    </w:div>
    <w:div w:id="147404898">
      <w:marLeft w:val="0"/>
      <w:marRight w:val="0"/>
      <w:marTop w:val="10"/>
      <w:marBottom w:val="10"/>
      <w:divBdr>
        <w:top w:val="none" w:sz="0" w:space="0" w:color="auto"/>
        <w:left w:val="none" w:sz="0" w:space="0" w:color="auto"/>
        <w:bottom w:val="none" w:sz="0" w:space="0" w:color="auto"/>
        <w:right w:val="none" w:sz="0" w:space="0" w:color="auto"/>
      </w:divBdr>
    </w:div>
    <w:div w:id="174030343">
      <w:marLeft w:val="0"/>
      <w:marRight w:val="0"/>
      <w:marTop w:val="10"/>
      <w:marBottom w:val="10"/>
      <w:divBdr>
        <w:top w:val="none" w:sz="0" w:space="0" w:color="auto"/>
        <w:left w:val="none" w:sz="0" w:space="0" w:color="auto"/>
        <w:bottom w:val="none" w:sz="0" w:space="0" w:color="auto"/>
        <w:right w:val="none" w:sz="0" w:space="0" w:color="auto"/>
      </w:divBdr>
    </w:div>
    <w:div w:id="219097649">
      <w:marLeft w:val="0"/>
      <w:marRight w:val="0"/>
      <w:marTop w:val="10"/>
      <w:marBottom w:val="10"/>
      <w:divBdr>
        <w:top w:val="none" w:sz="0" w:space="0" w:color="auto"/>
        <w:left w:val="none" w:sz="0" w:space="0" w:color="auto"/>
        <w:bottom w:val="none" w:sz="0" w:space="0" w:color="auto"/>
        <w:right w:val="none" w:sz="0" w:space="0" w:color="auto"/>
      </w:divBdr>
    </w:div>
    <w:div w:id="219750525">
      <w:marLeft w:val="0"/>
      <w:marRight w:val="0"/>
      <w:marTop w:val="10"/>
      <w:marBottom w:val="10"/>
      <w:divBdr>
        <w:top w:val="none" w:sz="0" w:space="0" w:color="auto"/>
        <w:left w:val="none" w:sz="0" w:space="0" w:color="auto"/>
        <w:bottom w:val="none" w:sz="0" w:space="0" w:color="auto"/>
        <w:right w:val="none" w:sz="0" w:space="0" w:color="auto"/>
      </w:divBdr>
    </w:div>
    <w:div w:id="228809031">
      <w:marLeft w:val="0"/>
      <w:marRight w:val="0"/>
      <w:marTop w:val="10"/>
      <w:marBottom w:val="10"/>
      <w:divBdr>
        <w:top w:val="none" w:sz="0" w:space="0" w:color="auto"/>
        <w:left w:val="none" w:sz="0" w:space="0" w:color="auto"/>
        <w:bottom w:val="none" w:sz="0" w:space="0" w:color="auto"/>
        <w:right w:val="none" w:sz="0" w:space="0" w:color="auto"/>
      </w:divBdr>
    </w:div>
    <w:div w:id="466169572">
      <w:marLeft w:val="0"/>
      <w:marRight w:val="720"/>
      <w:marTop w:val="10"/>
      <w:marBottom w:val="10"/>
      <w:divBdr>
        <w:top w:val="none" w:sz="0" w:space="0" w:color="auto"/>
        <w:left w:val="none" w:sz="0" w:space="0" w:color="auto"/>
        <w:bottom w:val="none" w:sz="0" w:space="0" w:color="auto"/>
        <w:right w:val="none" w:sz="0" w:space="0" w:color="auto"/>
      </w:divBdr>
    </w:div>
    <w:div w:id="535197471">
      <w:marLeft w:val="0"/>
      <w:marRight w:val="0"/>
      <w:marTop w:val="10"/>
      <w:marBottom w:val="10"/>
      <w:divBdr>
        <w:top w:val="none" w:sz="0" w:space="0" w:color="auto"/>
        <w:left w:val="none" w:sz="0" w:space="0" w:color="auto"/>
        <w:bottom w:val="none" w:sz="0" w:space="0" w:color="auto"/>
        <w:right w:val="none" w:sz="0" w:space="0" w:color="auto"/>
      </w:divBdr>
    </w:div>
    <w:div w:id="600340606">
      <w:marLeft w:val="0"/>
      <w:marRight w:val="0"/>
      <w:marTop w:val="10"/>
      <w:marBottom w:val="10"/>
      <w:divBdr>
        <w:top w:val="none" w:sz="0" w:space="0" w:color="auto"/>
        <w:left w:val="none" w:sz="0" w:space="0" w:color="auto"/>
        <w:bottom w:val="none" w:sz="0" w:space="0" w:color="auto"/>
        <w:right w:val="none" w:sz="0" w:space="0" w:color="auto"/>
      </w:divBdr>
    </w:div>
    <w:div w:id="649597810">
      <w:marLeft w:val="0"/>
      <w:marRight w:val="720"/>
      <w:marTop w:val="10"/>
      <w:marBottom w:val="10"/>
      <w:divBdr>
        <w:top w:val="none" w:sz="0" w:space="0" w:color="auto"/>
        <w:left w:val="none" w:sz="0" w:space="0" w:color="auto"/>
        <w:bottom w:val="none" w:sz="0" w:space="0" w:color="auto"/>
        <w:right w:val="none" w:sz="0" w:space="0" w:color="auto"/>
      </w:divBdr>
    </w:div>
    <w:div w:id="704332544">
      <w:marLeft w:val="0"/>
      <w:marRight w:val="0"/>
      <w:marTop w:val="10"/>
      <w:marBottom w:val="10"/>
      <w:divBdr>
        <w:top w:val="none" w:sz="0" w:space="0" w:color="auto"/>
        <w:left w:val="none" w:sz="0" w:space="0" w:color="auto"/>
        <w:bottom w:val="none" w:sz="0" w:space="0" w:color="auto"/>
        <w:right w:val="none" w:sz="0" w:space="0" w:color="auto"/>
      </w:divBdr>
    </w:div>
    <w:div w:id="757944118">
      <w:marLeft w:val="0"/>
      <w:marRight w:val="0"/>
      <w:marTop w:val="10"/>
      <w:marBottom w:val="10"/>
      <w:divBdr>
        <w:top w:val="none" w:sz="0" w:space="0" w:color="auto"/>
        <w:left w:val="none" w:sz="0" w:space="0" w:color="auto"/>
        <w:bottom w:val="none" w:sz="0" w:space="0" w:color="auto"/>
        <w:right w:val="none" w:sz="0" w:space="0" w:color="auto"/>
      </w:divBdr>
    </w:div>
    <w:div w:id="802187498">
      <w:marLeft w:val="0"/>
      <w:marRight w:val="0"/>
      <w:marTop w:val="10"/>
      <w:marBottom w:val="10"/>
      <w:divBdr>
        <w:top w:val="none" w:sz="0" w:space="0" w:color="auto"/>
        <w:left w:val="none" w:sz="0" w:space="0" w:color="auto"/>
        <w:bottom w:val="none" w:sz="0" w:space="0" w:color="auto"/>
        <w:right w:val="none" w:sz="0" w:space="0" w:color="auto"/>
      </w:divBdr>
    </w:div>
    <w:div w:id="807556274">
      <w:marLeft w:val="0"/>
      <w:marRight w:val="0"/>
      <w:marTop w:val="10"/>
      <w:marBottom w:val="10"/>
      <w:divBdr>
        <w:top w:val="none" w:sz="0" w:space="0" w:color="auto"/>
        <w:left w:val="none" w:sz="0" w:space="0" w:color="auto"/>
        <w:bottom w:val="none" w:sz="0" w:space="0" w:color="auto"/>
        <w:right w:val="none" w:sz="0" w:space="0" w:color="auto"/>
      </w:divBdr>
    </w:div>
    <w:div w:id="897276613">
      <w:marLeft w:val="0"/>
      <w:marRight w:val="0"/>
      <w:marTop w:val="10"/>
      <w:marBottom w:val="10"/>
      <w:divBdr>
        <w:top w:val="none" w:sz="0" w:space="0" w:color="auto"/>
        <w:left w:val="none" w:sz="0" w:space="0" w:color="auto"/>
        <w:bottom w:val="none" w:sz="0" w:space="0" w:color="auto"/>
        <w:right w:val="none" w:sz="0" w:space="0" w:color="auto"/>
      </w:divBdr>
    </w:div>
    <w:div w:id="1081558340">
      <w:marLeft w:val="0"/>
      <w:marRight w:val="0"/>
      <w:marTop w:val="10"/>
      <w:marBottom w:val="10"/>
      <w:divBdr>
        <w:top w:val="none" w:sz="0" w:space="0" w:color="auto"/>
        <w:left w:val="none" w:sz="0" w:space="0" w:color="auto"/>
        <w:bottom w:val="none" w:sz="0" w:space="0" w:color="auto"/>
        <w:right w:val="none" w:sz="0" w:space="0" w:color="auto"/>
      </w:divBdr>
    </w:div>
    <w:div w:id="1148131069">
      <w:marLeft w:val="0"/>
      <w:marRight w:val="0"/>
      <w:marTop w:val="10"/>
      <w:marBottom w:val="10"/>
      <w:divBdr>
        <w:top w:val="none" w:sz="0" w:space="0" w:color="auto"/>
        <w:left w:val="none" w:sz="0" w:space="0" w:color="auto"/>
        <w:bottom w:val="none" w:sz="0" w:space="0" w:color="auto"/>
        <w:right w:val="none" w:sz="0" w:space="0" w:color="auto"/>
      </w:divBdr>
    </w:div>
    <w:div w:id="1158807594">
      <w:marLeft w:val="0"/>
      <w:marRight w:val="0"/>
      <w:marTop w:val="10"/>
      <w:marBottom w:val="10"/>
      <w:divBdr>
        <w:top w:val="none" w:sz="0" w:space="0" w:color="auto"/>
        <w:left w:val="none" w:sz="0" w:space="0" w:color="auto"/>
        <w:bottom w:val="none" w:sz="0" w:space="0" w:color="auto"/>
        <w:right w:val="none" w:sz="0" w:space="0" w:color="auto"/>
      </w:divBdr>
    </w:div>
    <w:div w:id="1441484884">
      <w:marLeft w:val="0"/>
      <w:marRight w:val="0"/>
      <w:marTop w:val="10"/>
      <w:marBottom w:val="10"/>
      <w:divBdr>
        <w:top w:val="none" w:sz="0" w:space="0" w:color="auto"/>
        <w:left w:val="none" w:sz="0" w:space="0" w:color="auto"/>
        <w:bottom w:val="none" w:sz="0" w:space="0" w:color="auto"/>
        <w:right w:val="none" w:sz="0" w:space="0" w:color="auto"/>
      </w:divBdr>
    </w:div>
    <w:div w:id="1614748268">
      <w:marLeft w:val="0"/>
      <w:marRight w:val="720"/>
      <w:marTop w:val="10"/>
      <w:marBottom w:val="10"/>
      <w:divBdr>
        <w:top w:val="none" w:sz="0" w:space="0" w:color="auto"/>
        <w:left w:val="none" w:sz="0" w:space="0" w:color="auto"/>
        <w:bottom w:val="none" w:sz="0" w:space="0" w:color="auto"/>
        <w:right w:val="none" w:sz="0" w:space="0" w:color="auto"/>
      </w:divBdr>
    </w:div>
    <w:div w:id="1652127700">
      <w:marLeft w:val="0"/>
      <w:marRight w:val="0"/>
      <w:marTop w:val="10"/>
      <w:marBottom w:val="10"/>
      <w:divBdr>
        <w:top w:val="none" w:sz="0" w:space="0" w:color="auto"/>
        <w:left w:val="none" w:sz="0" w:space="0" w:color="auto"/>
        <w:bottom w:val="none" w:sz="0" w:space="0" w:color="auto"/>
        <w:right w:val="none" w:sz="0" w:space="0" w:color="auto"/>
      </w:divBdr>
    </w:div>
    <w:div w:id="1672563225">
      <w:marLeft w:val="0"/>
      <w:marRight w:val="0"/>
      <w:marTop w:val="10"/>
      <w:marBottom w:val="10"/>
      <w:divBdr>
        <w:top w:val="none" w:sz="0" w:space="0" w:color="auto"/>
        <w:left w:val="none" w:sz="0" w:space="0" w:color="auto"/>
        <w:bottom w:val="none" w:sz="0" w:space="0" w:color="auto"/>
        <w:right w:val="none" w:sz="0" w:space="0" w:color="auto"/>
      </w:divBdr>
    </w:div>
    <w:div w:id="1732727744">
      <w:marLeft w:val="0"/>
      <w:marRight w:val="0"/>
      <w:marTop w:val="10"/>
      <w:marBottom w:val="10"/>
      <w:divBdr>
        <w:top w:val="none" w:sz="0" w:space="0" w:color="auto"/>
        <w:left w:val="none" w:sz="0" w:space="0" w:color="auto"/>
        <w:bottom w:val="none" w:sz="0" w:space="0" w:color="auto"/>
        <w:right w:val="none" w:sz="0" w:space="0" w:color="auto"/>
      </w:divBdr>
    </w:div>
    <w:div w:id="1842086357">
      <w:marLeft w:val="0"/>
      <w:marRight w:val="0"/>
      <w:marTop w:val="10"/>
      <w:marBottom w:val="10"/>
      <w:divBdr>
        <w:top w:val="none" w:sz="0" w:space="0" w:color="auto"/>
        <w:left w:val="none" w:sz="0" w:space="0" w:color="auto"/>
        <w:bottom w:val="none" w:sz="0" w:space="0" w:color="auto"/>
        <w:right w:val="none" w:sz="0" w:space="0" w:color="auto"/>
      </w:divBdr>
    </w:div>
    <w:div w:id="1873036300">
      <w:marLeft w:val="0"/>
      <w:marRight w:val="0"/>
      <w:marTop w:val="10"/>
      <w:marBottom w:val="10"/>
      <w:divBdr>
        <w:top w:val="none" w:sz="0" w:space="0" w:color="auto"/>
        <w:left w:val="none" w:sz="0" w:space="0" w:color="auto"/>
        <w:bottom w:val="none" w:sz="0" w:space="0" w:color="auto"/>
        <w:right w:val="none" w:sz="0" w:space="0" w:color="auto"/>
      </w:divBdr>
    </w:div>
    <w:div w:id="1882013460">
      <w:marLeft w:val="0"/>
      <w:marRight w:val="0"/>
      <w:marTop w:val="10"/>
      <w:marBottom w:val="10"/>
      <w:divBdr>
        <w:top w:val="none" w:sz="0" w:space="0" w:color="auto"/>
        <w:left w:val="none" w:sz="0" w:space="0" w:color="auto"/>
        <w:bottom w:val="none" w:sz="0" w:space="0" w:color="auto"/>
        <w:right w:val="none" w:sz="0" w:space="0" w:color="auto"/>
      </w:divBdr>
    </w:div>
    <w:div w:id="1988513407">
      <w:marLeft w:val="0"/>
      <w:marRight w:val="0"/>
      <w:marTop w:val="10"/>
      <w:marBottom w:val="10"/>
      <w:divBdr>
        <w:top w:val="none" w:sz="0" w:space="0" w:color="auto"/>
        <w:left w:val="none" w:sz="0" w:space="0" w:color="auto"/>
        <w:bottom w:val="none" w:sz="0" w:space="0" w:color="auto"/>
        <w:right w:val="none" w:sz="0" w:space="0" w:color="auto"/>
      </w:divBdr>
    </w:div>
    <w:div w:id="2023388555">
      <w:marLeft w:val="0"/>
      <w:marRight w:val="0"/>
      <w:marTop w:val="10"/>
      <w:marBottom w:val="10"/>
      <w:divBdr>
        <w:top w:val="none" w:sz="0" w:space="0" w:color="auto"/>
        <w:left w:val="none" w:sz="0" w:space="0" w:color="auto"/>
        <w:bottom w:val="none" w:sz="0" w:space="0" w:color="auto"/>
        <w:right w:val="none" w:sz="0" w:space="0" w:color="auto"/>
      </w:divBdr>
    </w:div>
    <w:div w:id="2068526261">
      <w:marLeft w:val="0"/>
      <w:marRight w:val="0"/>
      <w:marTop w:val="10"/>
      <w:marBottom w:val="10"/>
      <w:divBdr>
        <w:top w:val="none" w:sz="0" w:space="0" w:color="auto"/>
        <w:left w:val="none" w:sz="0" w:space="0" w:color="auto"/>
        <w:bottom w:val="none" w:sz="0" w:space="0" w:color="auto"/>
        <w:right w:val="none" w:sz="0" w:space="0" w:color="auto"/>
      </w:divBdr>
    </w:div>
    <w:div w:id="2073572947">
      <w:marLeft w:val="0"/>
      <w:marRight w:val="720"/>
      <w:marTop w:val="10"/>
      <w:marBottom w:val="10"/>
      <w:divBdr>
        <w:top w:val="none" w:sz="0" w:space="0" w:color="auto"/>
        <w:left w:val="none" w:sz="0" w:space="0" w:color="auto"/>
        <w:bottom w:val="none" w:sz="0" w:space="0" w:color="auto"/>
        <w:right w:val="none" w:sz="0" w:space="0" w:color="auto"/>
      </w:divBdr>
    </w:div>
    <w:div w:id="2112358729">
      <w:marLeft w:val="0"/>
      <w:marRight w:val="0"/>
      <w:marTop w:val="10"/>
      <w:marBottom w:val="10"/>
      <w:divBdr>
        <w:top w:val="none" w:sz="0" w:space="0" w:color="auto"/>
        <w:left w:val="none" w:sz="0" w:space="0" w:color="auto"/>
        <w:bottom w:val="none" w:sz="0" w:space="0" w:color="auto"/>
        <w:right w:val="none" w:sz="0" w:space="0" w:color="auto"/>
      </w:divBdr>
    </w:div>
    <w:div w:id="2129160666">
      <w:marLeft w:val="0"/>
      <w:marRight w:val="0"/>
      <w:marTop w:val="10"/>
      <w:marBottom w:val="10"/>
      <w:divBdr>
        <w:top w:val="none" w:sz="0" w:space="0" w:color="auto"/>
        <w:left w:val="none" w:sz="0" w:space="0" w:color="auto"/>
        <w:bottom w:val="none" w:sz="0" w:space="0" w:color="auto"/>
        <w:right w:val="none" w:sz="0" w:space="0" w:color="auto"/>
      </w:divBdr>
    </w:div>
    <w:div w:id="213891506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2025-04-30T07:48:00Z</dcterms:created>
  <dcterms:modified xsi:type="dcterms:W3CDTF">2025-04-30T07:48:00Z</dcterms:modified>
</cp:coreProperties>
</file>