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A5364" w14:textId="77777777" w:rsidR="00DD35D7" w:rsidRDefault="00DD35D7">
      <w:pPr>
        <w:spacing w:line="500" w:lineRule="atLeast"/>
        <w:jc w:val="center"/>
        <w:divId w:val="349768874"/>
        <w:rPr>
          <w:rFonts w:ascii="黑体" w:eastAsia="黑体" w:hAnsi="黑体"/>
          <w:sz w:val="36"/>
          <w:szCs w:val="36"/>
        </w:rPr>
      </w:pPr>
      <w:r>
        <w:rPr>
          <w:rFonts w:ascii="黑体" w:eastAsia="黑体" w:hAnsi="黑体" w:hint="eastAsia"/>
          <w:sz w:val="36"/>
          <w:szCs w:val="36"/>
        </w:rPr>
        <w:t>广东省广州市中级人民法院</w:t>
      </w:r>
    </w:p>
    <w:p w14:paraId="484E07F5" w14:textId="77777777" w:rsidR="00DD35D7" w:rsidRDefault="00DD35D7">
      <w:pPr>
        <w:spacing w:line="500" w:lineRule="atLeast"/>
        <w:jc w:val="center"/>
        <w:divId w:val="155400593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49419AB" w14:textId="77777777" w:rsidR="00DD35D7" w:rsidRDefault="00DD35D7">
      <w:pPr>
        <w:spacing w:line="500" w:lineRule="atLeast"/>
        <w:jc w:val="right"/>
        <w:divId w:val="165023740"/>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01</w:t>
      </w:r>
      <w:r>
        <w:rPr>
          <w:rFonts w:hint="eastAsia"/>
          <w:sz w:val="30"/>
          <w:szCs w:val="30"/>
        </w:rPr>
        <w:t>刑终</w:t>
      </w:r>
      <w:r>
        <w:rPr>
          <w:rFonts w:hint="eastAsia"/>
          <w:sz w:val="30"/>
          <w:szCs w:val="30"/>
        </w:rPr>
        <w:t>2036</w:t>
      </w:r>
      <w:r>
        <w:rPr>
          <w:rFonts w:hint="eastAsia"/>
          <w:sz w:val="30"/>
          <w:szCs w:val="30"/>
        </w:rPr>
        <w:t>号</w:t>
      </w:r>
    </w:p>
    <w:p w14:paraId="70A9A2E3" w14:textId="77777777" w:rsidR="00DD35D7" w:rsidRDefault="00DD35D7">
      <w:pPr>
        <w:spacing w:line="500" w:lineRule="atLeast"/>
        <w:ind w:firstLine="600"/>
        <w:divId w:val="1260942042"/>
        <w:rPr>
          <w:rFonts w:hint="eastAsia"/>
          <w:sz w:val="30"/>
          <w:szCs w:val="30"/>
        </w:rPr>
      </w:pPr>
      <w:r>
        <w:rPr>
          <w:rFonts w:hint="eastAsia"/>
          <w:sz w:val="30"/>
          <w:szCs w:val="30"/>
        </w:rPr>
        <w:t>原公诉机关广东省广州市番禺区人民检察院。</w:t>
      </w:r>
    </w:p>
    <w:p w14:paraId="36DAE2B7" w14:textId="77777777" w:rsidR="00DD35D7" w:rsidRDefault="00DD35D7">
      <w:pPr>
        <w:spacing w:line="500" w:lineRule="atLeast"/>
        <w:ind w:firstLine="600"/>
        <w:divId w:val="952439288"/>
        <w:rPr>
          <w:rFonts w:hint="eastAsia"/>
          <w:sz w:val="30"/>
          <w:szCs w:val="30"/>
        </w:rPr>
      </w:pPr>
      <w:r>
        <w:rPr>
          <w:rFonts w:hint="eastAsia"/>
          <w:sz w:val="30"/>
          <w:szCs w:val="30"/>
        </w:rPr>
        <w:t>上诉人（原审被告人）林巍，男，</w:t>
      </w:r>
      <w:r>
        <w:rPr>
          <w:rFonts w:hint="eastAsia"/>
          <w:sz w:val="30"/>
          <w:szCs w:val="30"/>
        </w:rPr>
        <w:t>1973</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日出生，汉族，文化程度在职研究生，案发前任广州市机动车维修与驾驶员行业培训管理处处长，曾任广州市第三公共汽车公司副经理、纪委书记、工会主席，户籍地广东省广州市天河区。因本案于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日被取保候审。</w:t>
      </w:r>
    </w:p>
    <w:p w14:paraId="063850E3" w14:textId="77777777" w:rsidR="00DD35D7" w:rsidRDefault="00DD35D7">
      <w:pPr>
        <w:spacing w:line="500" w:lineRule="atLeast"/>
        <w:ind w:firstLine="600"/>
        <w:divId w:val="1738354363"/>
        <w:rPr>
          <w:rFonts w:hint="eastAsia"/>
          <w:sz w:val="30"/>
          <w:szCs w:val="30"/>
        </w:rPr>
      </w:pPr>
      <w:r>
        <w:rPr>
          <w:rFonts w:hint="eastAsia"/>
          <w:sz w:val="30"/>
          <w:szCs w:val="30"/>
        </w:rPr>
        <w:t>辩护人陈满平、陈征，广东启源律师事务所律师。</w:t>
      </w:r>
    </w:p>
    <w:p w14:paraId="3983D61A" w14:textId="77777777" w:rsidR="00DD35D7" w:rsidRDefault="00DD35D7">
      <w:pPr>
        <w:spacing w:line="500" w:lineRule="atLeast"/>
        <w:ind w:firstLine="600"/>
        <w:divId w:val="1142424372"/>
        <w:rPr>
          <w:rFonts w:hint="eastAsia"/>
          <w:sz w:val="30"/>
          <w:szCs w:val="30"/>
        </w:rPr>
      </w:pPr>
      <w:r>
        <w:rPr>
          <w:rFonts w:hint="eastAsia"/>
          <w:sz w:val="30"/>
          <w:szCs w:val="30"/>
        </w:rPr>
        <w:t>广东省广州市番禺区人民法院审理广东省广州市番禺区人民检察院指控原审被告人林巍犯贪污罪一案，于</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日作出（</w:t>
      </w:r>
      <w:r>
        <w:rPr>
          <w:rFonts w:hint="eastAsia"/>
          <w:sz w:val="30"/>
          <w:szCs w:val="30"/>
        </w:rPr>
        <w:t>2019</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1681</w:t>
      </w:r>
      <w:r>
        <w:rPr>
          <w:rFonts w:hint="eastAsia"/>
          <w:sz w:val="30"/>
          <w:szCs w:val="30"/>
        </w:rPr>
        <w:t>号刑事判决。原审被告人林巍不服，提出上诉。本院依法组成合议庭，公开开庭审理了本案。广东省广州市人民检察院指派检察员王树茂出庭履行职务，上诉人林巍及其辩护人到庭参加诉讼。现已审理终结。</w:t>
      </w:r>
    </w:p>
    <w:p w14:paraId="11B981C8" w14:textId="77777777" w:rsidR="00DD35D7" w:rsidRDefault="00DD35D7">
      <w:pPr>
        <w:spacing w:line="500" w:lineRule="atLeast"/>
        <w:ind w:firstLine="600"/>
        <w:divId w:val="1560051646"/>
        <w:rPr>
          <w:rFonts w:hint="eastAsia"/>
          <w:sz w:val="30"/>
          <w:szCs w:val="30"/>
        </w:rPr>
      </w:pPr>
      <w:r>
        <w:rPr>
          <w:rFonts w:hint="eastAsia"/>
          <w:sz w:val="30"/>
          <w:szCs w:val="30"/>
        </w:rPr>
        <w:t>原审判决认定：</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被告人林巍在广州市第三公共汽车公司先后担任副经理、纪委书记期间，利用其参与经营管理公司的职务便利，与公司领导班子成员区焯贤、凤某、刘某、肖某、高某及财务副总监李某等人（均已判决），违反广州市交通委员会下发的关于薪酬管理的有关规定，以发放“季度绩效奖”、“年度绩效奖”、“年终慰问金”的名义，通过虚列支出、虚假报销套取现金的方式先后多次侵占公司财产共计人民币</w:t>
      </w:r>
      <w:r>
        <w:rPr>
          <w:rFonts w:hint="eastAsia"/>
          <w:sz w:val="30"/>
          <w:szCs w:val="30"/>
        </w:rPr>
        <w:t>872,191</w:t>
      </w:r>
      <w:r>
        <w:rPr>
          <w:rFonts w:hint="eastAsia"/>
          <w:sz w:val="30"/>
          <w:szCs w:val="30"/>
        </w:rPr>
        <w:t>元，其中被告人林巍个人分得</w:t>
      </w:r>
      <w:r>
        <w:rPr>
          <w:rFonts w:hint="eastAsia"/>
          <w:sz w:val="30"/>
          <w:szCs w:val="30"/>
        </w:rPr>
        <w:t>103,160</w:t>
      </w:r>
      <w:r>
        <w:rPr>
          <w:rFonts w:hint="eastAsia"/>
          <w:sz w:val="30"/>
          <w:szCs w:val="30"/>
        </w:rPr>
        <w:t>元。另查明，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日被告人林巍在组织调查前主动退赃人民币</w:t>
      </w:r>
      <w:r>
        <w:rPr>
          <w:rFonts w:hint="eastAsia"/>
          <w:sz w:val="30"/>
          <w:szCs w:val="30"/>
        </w:rPr>
        <w:t>110000</w:t>
      </w:r>
      <w:r>
        <w:rPr>
          <w:rFonts w:hint="eastAsia"/>
          <w:sz w:val="30"/>
          <w:szCs w:val="30"/>
        </w:rPr>
        <w:t>元。</w:t>
      </w:r>
    </w:p>
    <w:p w14:paraId="14B4A36F" w14:textId="77777777" w:rsidR="00DD35D7" w:rsidRDefault="00DD35D7">
      <w:pPr>
        <w:spacing w:line="500" w:lineRule="atLeast"/>
        <w:ind w:firstLine="600"/>
        <w:divId w:val="1062021932"/>
        <w:rPr>
          <w:rFonts w:hint="eastAsia"/>
          <w:sz w:val="30"/>
          <w:szCs w:val="30"/>
        </w:rPr>
      </w:pPr>
      <w:r>
        <w:rPr>
          <w:rFonts w:hint="eastAsia"/>
          <w:sz w:val="30"/>
          <w:szCs w:val="30"/>
        </w:rPr>
        <w:lastRenderedPageBreak/>
        <w:t>原判认定上述事实的证据有：广州市监察委员会出具的立案决定书、《林巍到案情况说明》、查封</w:t>
      </w:r>
      <w:r>
        <w:rPr>
          <w:rFonts w:hint="eastAsia"/>
          <w:sz w:val="30"/>
          <w:szCs w:val="30"/>
        </w:rPr>
        <w:t>/</w:t>
      </w:r>
      <w:r>
        <w:rPr>
          <w:rFonts w:hint="eastAsia"/>
          <w:sz w:val="30"/>
          <w:szCs w:val="30"/>
        </w:rPr>
        <w:t>扣押通知书及清单、广东省暂时扣留、冻结财物收据，干部任免审批表、任免通知，广州市交通工作委员会《关于印发广州市交委直属国有企业领导人员综合考核及结果运用暂行办法的通知》《关于印发广州市交委会系统国有企业领导人员薪酬考核管理暂行办法的通知》，广州市第三公共汽车公司、广州第三巴士有限公司工商资料，广州银粤会计师事务所有限公司出具的银粤专字</w:t>
      </w:r>
      <w:r>
        <w:rPr>
          <w:rFonts w:hint="eastAsia"/>
          <w:sz w:val="30"/>
          <w:szCs w:val="30"/>
        </w:rPr>
        <w:t>[2017]1031</w:t>
      </w:r>
      <w:r>
        <w:rPr>
          <w:rFonts w:hint="eastAsia"/>
          <w:sz w:val="30"/>
          <w:szCs w:val="30"/>
        </w:rPr>
        <w:t>号《广州市第三公共汽车公司</w:t>
      </w:r>
      <w:r>
        <w:rPr>
          <w:rFonts w:hint="eastAsia"/>
          <w:sz w:val="30"/>
          <w:szCs w:val="30"/>
        </w:rPr>
        <w:t>2007-2012</w:t>
      </w:r>
      <w:r>
        <w:rPr>
          <w:rFonts w:hint="eastAsia"/>
          <w:sz w:val="30"/>
          <w:szCs w:val="30"/>
        </w:rPr>
        <w:t>年支付虚假劳务费及培训费和资金去向的司法会计鉴定报告》及修正说明，广州市交通委员会直属机关纪委出具的《情况说明》、收款收据复印件、广州市交通委员会党组出具的《关于林巍同志工作表现的函》、广州市交通运输局党组出具的《关于林巍工作表现的函》，同案人刑事判决书，证人罗某方、高某、游某</w:t>
      </w:r>
      <w:r>
        <w:rPr>
          <w:rFonts w:hint="eastAsia"/>
          <w:sz w:val="30"/>
          <w:szCs w:val="30"/>
        </w:rPr>
        <w:t>1</w:t>
      </w:r>
      <w:r>
        <w:rPr>
          <w:rFonts w:hint="eastAsia"/>
          <w:sz w:val="30"/>
          <w:szCs w:val="30"/>
        </w:rPr>
        <w:t>、黄某</w:t>
      </w:r>
      <w:r>
        <w:rPr>
          <w:rFonts w:hint="eastAsia"/>
          <w:sz w:val="30"/>
          <w:szCs w:val="30"/>
        </w:rPr>
        <w:t>1</w:t>
      </w:r>
      <w:r>
        <w:rPr>
          <w:rFonts w:hint="eastAsia"/>
          <w:sz w:val="30"/>
          <w:szCs w:val="30"/>
        </w:rPr>
        <w:t>、梁某</w:t>
      </w:r>
      <w:r>
        <w:rPr>
          <w:rFonts w:hint="eastAsia"/>
          <w:sz w:val="30"/>
          <w:szCs w:val="30"/>
        </w:rPr>
        <w:t>1</w:t>
      </w:r>
      <w:r>
        <w:rPr>
          <w:rFonts w:hint="eastAsia"/>
          <w:sz w:val="30"/>
          <w:szCs w:val="30"/>
        </w:rPr>
        <w:t>、区焯贤、凤某、刘某、肖某、李某、冯某</w:t>
      </w:r>
      <w:r>
        <w:rPr>
          <w:rFonts w:hint="eastAsia"/>
          <w:sz w:val="30"/>
          <w:szCs w:val="30"/>
        </w:rPr>
        <w:t>1</w:t>
      </w:r>
      <w:r>
        <w:rPr>
          <w:rFonts w:hint="eastAsia"/>
          <w:sz w:val="30"/>
          <w:szCs w:val="30"/>
        </w:rPr>
        <w:t>等人的证言，被告人林巍的供述，辨认材料等。</w:t>
      </w:r>
    </w:p>
    <w:p w14:paraId="70EEA1A1" w14:textId="77777777" w:rsidR="00DD35D7" w:rsidRDefault="00DD35D7">
      <w:pPr>
        <w:spacing w:line="500" w:lineRule="atLeast"/>
        <w:ind w:firstLine="600"/>
        <w:divId w:val="1431394164"/>
        <w:rPr>
          <w:rFonts w:hint="eastAsia"/>
          <w:sz w:val="30"/>
          <w:szCs w:val="30"/>
        </w:rPr>
      </w:pPr>
      <w:r>
        <w:rPr>
          <w:rFonts w:hint="eastAsia"/>
          <w:sz w:val="30"/>
          <w:szCs w:val="30"/>
        </w:rPr>
        <w:t>原判认为，被告人林巍身为国家工作人员，与国有公司领导班子成员共同利用职务上的便利，侵吞公共财物，数额巨大，其行为已构成贪污罪。林巍自动投案，并如实供述自己的罪行，是自首，依法可以减轻处罚。林巍在案发前主动向单位退出全部赃款，有悔罪表现，可酌情从轻处罚。综合林巍的犯罪情节、性质、社会危害性及认罪态度等因素，决定对其适用缓刑。依照《中华人民共和国刑法》第三百八十二条第一款、第三百八十三条、第六十七条第一款、第五十二条、第五十三条、第六十四条、第七十二条、第七十三条及《中华人民共和国刑事诉讼法》第十五条的规定，判决如下：一、被告人林巍犯贪污罪，判处有期徒刑一年三个月，缓刑一年六个月，并处罚金人民币十万元；二、依法扣押的赃款人民币</w:t>
      </w:r>
      <w:r>
        <w:rPr>
          <w:rFonts w:hint="eastAsia"/>
          <w:sz w:val="30"/>
          <w:szCs w:val="30"/>
        </w:rPr>
        <w:t>11</w:t>
      </w:r>
      <w:r>
        <w:rPr>
          <w:rFonts w:hint="eastAsia"/>
          <w:sz w:val="30"/>
          <w:szCs w:val="30"/>
        </w:rPr>
        <w:t>万元，予以没收，上缴国库。</w:t>
      </w:r>
    </w:p>
    <w:p w14:paraId="0DBB8232" w14:textId="77777777" w:rsidR="00DD35D7" w:rsidRDefault="00DD35D7">
      <w:pPr>
        <w:spacing w:line="500" w:lineRule="atLeast"/>
        <w:ind w:firstLine="600"/>
        <w:divId w:val="652563622"/>
        <w:rPr>
          <w:rFonts w:hint="eastAsia"/>
          <w:sz w:val="30"/>
          <w:szCs w:val="30"/>
        </w:rPr>
      </w:pPr>
      <w:r>
        <w:rPr>
          <w:rFonts w:hint="eastAsia"/>
          <w:sz w:val="30"/>
          <w:szCs w:val="30"/>
        </w:rPr>
        <w:t>一审宣判后，原审被告人林巍不服，上诉称：</w:t>
      </w:r>
      <w:r>
        <w:rPr>
          <w:rFonts w:hint="eastAsia"/>
          <w:sz w:val="30"/>
          <w:szCs w:val="30"/>
        </w:rPr>
        <w:t>1.</w:t>
      </w:r>
      <w:r>
        <w:rPr>
          <w:rFonts w:hint="eastAsia"/>
          <w:sz w:val="30"/>
          <w:szCs w:val="30"/>
        </w:rPr>
        <w:t>其于</w:t>
      </w:r>
      <w:r>
        <w:rPr>
          <w:rFonts w:hint="eastAsia"/>
          <w:sz w:val="30"/>
          <w:szCs w:val="30"/>
        </w:rPr>
        <w:t>2007</w:t>
      </w:r>
      <w:r>
        <w:rPr>
          <w:rFonts w:hint="eastAsia"/>
          <w:sz w:val="30"/>
          <w:szCs w:val="30"/>
        </w:rPr>
        <w:t>年任副经理期间，没有参加</w:t>
      </w:r>
      <w:r>
        <w:rPr>
          <w:rFonts w:hint="eastAsia"/>
          <w:sz w:val="30"/>
          <w:szCs w:val="30"/>
        </w:rPr>
        <w:t>2007</w:t>
      </w:r>
      <w:r>
        <w:rPr>
          <w:rFonts w:hint="eastAsia"/>
          <w:sz w:val="30"/>
          <w:szCs w:val="30"/>
        </w:rPr>
        <w:t>年发放补贴的讨论决策和审批，其在不知情的情况下签名领取补贴，不清楚所领补贴资金来源；</w:t>
      </w:r>
      <w:r>
        <w:rPr>
          <w:rFonts w:hint="eastAsia"/>
          <w:sz w:val="30"/>
          <w:szCs w:val="30"/>
        </w:rPr>
        <w:t>2.</w:t>
      </w:r>
      <w:r>
        <w:rPr>
          <w:rFonts w:hint="eastAsia"/>
          <w:sz w:val="30"/>
          <w:szCs w:val="30"/>
        </w:rPr>
        <w:t>其于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日至</w:t>
      </w:r>
      <w:r>
        <w:rPr>
          <w:rFonts w:hint="eastAsia"/>
          <w:sz w:val="30"/>
          <w:szCs w:val="30"/>
        </w:rPr>
        <w:t>2008</w:t>
      </w:r>
      <w:r>
        <w:rPr>
          <w:rFonts w:hint="eastAsia"/>
          <w:sz w:val="30"/>
          <w:szCs w:val="30"/>
        </w:rPr>
        <w:t>年</w:t>
      </w:r>
      <w:r>
        <w:rPr>
          <w:rFonts w:hint="eastAsia"/>
          <w:sz w:val="30"/>
          <w:szCs w:val="30"/>
        </w:rPr>
        <w:t>2</w:t>
      </w:r>
      <w:r>
        <w:rPr>
          <w:rFonts w:hint="eastAsia"/>
          <w:sz w:val="30"/>
          <w:szCs w:val="30"/>
        </w:rPr>
        <w:t>月任纪委书记，之后任工会主席，不参与企业经营管理，没有利用职务便利参与贪污；</w:t>
      </w:r>
      <w:r>
        <w:rPr>
          <w:rFonts w:hint="eastAsia"/>
          <w:sz w:val="30"/>
          <w:szCs w:val="30"/>
        </w:rPr>
        <w:t>3.</w:t>
      </w:r>
      <w:r>
        <w:rPr>
          <w:rFonts w:hint="eastAsia"/>
          <w:sz w:val="30"/>
          <w:szCs w:val="30"/>
        </w:rPr>
        <w:t>其于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月离开广州市第三公共汽车公司，没有领取</w:t>
      </w:r>
      <w:r>
        <w:rPr>
          <w:rFonts w:hint="eastAsia"/>
          <w:sz w:val="30"/>
          <w:szCs w:val="30"/>
        </w:rPr>
        <w:t>2010</w:t>
      </w:r>
      <w:r>
        <w:rPr>
          <w:rFonts w:hint="eastAsia"/>
          <w:sz w:val="30"/>
          <w:szCs w:val="30"/>
        </w:rPr>
        <w:t>年发放的</w:t>
      </w:r>
      <w:r>
        <w:rPr>
          <w:rFonts w:hint="eastAsia"/>
          <w:sz w:val="30"/>
          <w:szCs w:val="30"/>
        </w:rPr>
        <w:t>2009</w:t>
      </w:r>
      <w:r>
        <w:rPr>
          <w:rFonts w:hint="eastAsia"/>
          <w:sz w:val="30"/>
          <w:szCs w:val="30"/>
        </w:rPr>
        <w:t>年绩效补差和年终慰问共</w:t>
      </w:r>
      <w:r>
        <w:rPr>
          <w:rFonts w:hint="eastAsia"/>
          <w:sz w:val="30"/>
          <w:szCs w:val="30"/>
        </w:rPr>
        <w:t>15000</w:t>
      </w:r>
      <w:r>
        <w:rPr>
          <w:rFonts w:hint="eastAsia"/>
          <w:sz w:val="30"/>
          <w:szCs w:val="30"/>
        </w:rPr>
        <w:t>元；</w:t>
      </w:r>
      <w:r>
        <w:rPr>
          <w:rFonts w:hint="eastAsia"/>
          <w:sz w:val="30"/>
          <w:szCs w:val="30"/>
        </w:rPr>
        <w:t>4.</w:t>
      </w:r>
      <w:r>
        <w:rPr>
          <w:rFonts w:hint="eastAsia"/>
          <w:sz w:val="30"/>
          <w:szCs w:val="30"/>
        </w:rPr>
        <w:t>原判认定扣押的金额有误，应为</w:t>
      </w:r>
      <w:r>
        <w:rPr>
          <w:rFonts w:hint="eastAsia"/>
          <w:sz w:val="30"/>
          <w:szCs w:val="30"/>
        </w:rPr>
        <w:t>103160</w:t>
      </w:r>
      <w:r>
        <w:rPr>
          <w:rFonts w:hint="eastAsia"/>
          <w:sz w:val="30"/>
          <w:szCs w:val="30"/>
        </w:rPr>
        <w:t>元，广州市监察委员会已退还其</w:t>
      </w:r>
      <w:r>
        <w:rPr>
          <w:rFonts w:hint="eastAsia"/>
          <w:sz w:val="30"/>
          <w:szCs w:val="30"/>
        </w:rPr>
        <w:t>6840</w:t>
      </w:r>
      <w:r>
        <w:rPr>
          <w:rFonts w:hint="eastAsia"/>
          <w:sz w:val="30"/>
          <w:szCs w:val="30"/>
        </w:rPr>
        <w:t>元；</w:t>
      </w:r>
      <w:r>
        <w:rPr>
          <w:rFonts w:hint="eastAsia"/>
          <w:sz w:val="30"/>
          <w:szCs w:val="30"/>
        </w:rPr>
        <w:t>5.</w:t>
      </w:r>
      <w:r>
        <w:rPr>
          <w:rFonts w:hint="eastAsia"/>
          <w:sz w:val="30"/>
          <w:szCs w:val="30"/>
        </w:rPr>
        <w:t>其在共同贪污中应属从犯；</w:t>
      </w:r>
      <w:r>
        <w:rPr>
          <w:rFonts w:hint="eastAsia"/>
          <w:sz w:val="30"/>
          <w:szCs w:val="30"/>
        </w:rPr>
        <w:t>6.</w:t>
      </w:r>
      <w:r>
        <w:rPr>
          <w:rFonts w:hint="eastAsia"/>
          <w:sz w:val="30"/>
          <w:szCs w:val="30"/>
        </w:rPr>
        <w:t>本案已超过追诉期限；</w:t>
      </w:r>
      <w:r>
        <w:rPr>
          <w:rFonts w:hint="eastAsia"/>
          <w:sz w:val="30"/>
          <w:szCs w:val="30"/>
        </w:rPr>
        <w:t>7.</w:t>
      </w:r>
      <w:r>
        <w:rPr>
          <w:rFonts w:hint="eastAsia"/>
          <w:sz w:val="30"/>
          <w:szCs w:val="30"/>
        </w:rPr>
        <w:t>原判量刑过重且失衡，应认定其有立功表现。请求对其免予刑事处罚并修改扣押金额。</w:t>
      </w:r>
    </w:p>
    <w:p w14:paraId="6D7E706F" w14:textId="77777777" w:rsidR="00DD35D7" w:rsidRDefault="00DD35D7">
      <w:pPr>
        <w:spacing w:line="500" w:lineRule="atLeast"/>
        <w:ind w:firstLine="600"/>
        <w:divId w:val="409696501"/>
        <w:rPr>
          <w:rFonts w:hint="eastAsia"/>
          <w:sz w:val="30"/>
          <w:szCs w:val="30"/>
        </w:rPr>
      </w:pPr>
      <w:r>
        <w:rPr>
          <w:rFonts w:hint="eastAsia"/>
          <w:sz w:val="30"/>
          <w:szCs w:val="30"/>
        </w:rPr>
        <w:t>辩护人提出的辩护意见与林巍的上诉意见一致。</w:t>
      </w:r>
    </w:p>
    <w:p w14:paraId="26AC3BFA" w14:textId="77777777" w:rsidR="00DD35D7" w:rsidRDefault="00DD35D7">
      <w:pPr>
        <w:spacing w:line="500" w:lineRule="atLeast"/>
        <w:ind w:firstLine="600"/>
        <w:divId w:val="1744254277"/>
        <w:rPr>
          <w:rFonts w:hint="eastAsia"/>
          <w:sz w:val="30"/>
          <w:szCs w:val="30"/>
        </w:rPr>
      </w:pPr>
      <w:r>
        <w:rPr>
          <w:rFonts w:hint="eastAsia"/>
          <w:sz w:val="30"/>
          <w:szCs w:val="30"/>
        </w:rPr>
        <w:t>出庭检察员的意见是：林巍先后担任广州市第三公共汽车公司副经理、纪委书记，作为领导班子成员参与违规发放账外薪酬的会议及决策，明知账外薪酬的性质及来源，具有贪污的主观故意，应认定构成贪污罪。原判认定犯罪事实清楚、证据确实、充分，定罪准确，但认定的扣押数额有误，应予纠正。</w:t>
      </w:r>
    </w:p>
    <w:p w14:paraId="38859DCB" w14:textId="77777777" w:rsidR="00DD35D7" w:rsidRDefault="00DD35D7">
      <w:pPr>
        <w:spacing w:line="500" w:lineRule="atLeast"/>
        <w:ind w:firstLine="600"/>
        <w:divId w:val="496458491"/>
        <w:rPr>
          <w:rFonts w:hint="eastAsia"/>
          <w:sz w:val="30"/>
          <w:szCs w:val="30"/>
        </w:rPr>
      </w:pPr>
      <w:r>
        <w:rPr>
          <w:rFonts w:hint="eastAsia"/>
          <w:sz w:val="30"/>
          <w:szCs w:val="30"/>
        </w:rPr>
        <w:t>经审理查明，</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上诉人林巍利用先后担任广州市第三公共汽车公司副经理、纪委书记、工会主席，作为公司领导班子成员的职务便利，与公司其他领导班子成员区焯贤、凤某、刘某、肖某、高某及财务副总监李某等人（均已判决）经讨论决策，违反广州市交通委员会下发的关于薪酬管理的有关规定，以发放“季度绩效奖”、“年度绩效奖”、“年终慰问金”的名义，通过虚列支出、虚假报销套取现金的方式先后多次侵占公司财产共计人民币</w:t>
      </w:r>
      <w:r>
        <w:rPr>
          <w:rFonts w:hint="eastAsia"/>
          <w:sz w:val="30"/>
          <w:szCs w:val="30"/>
        </w:rPr>
        <w:t>872,191</w:t>
      </w:r>
      <w:r>
        <w:rPr>
          <w:rFonts w:hint="eastAsia"/>
          <w:sz w:val="30"/>
          <w:szCs w:val="30"/>
        </w:rPr>
        <w:t>元，其中上诉人林巍个人分得</w:t>
      </w:r>
      <w:r>
        <w:rPr>
          <w:rFonts w:hint="eastAsia"/>
          <w:sz w:val="30"/>
          <w:szCs w:val="30"/>
        </w:rPr>
        <w:t>103,160</w:t>
      </w:r>
      <w:r>
        <w:rPr>
          <w:rFonts w:hint="eastAsia"/>
          <w:sz w:val="30"/>
          <w:szCs w:val="30"/>
        </w:rPr>
        <w:t>元。</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日，上诉人林巍在组织调查前主动退缴人民币</w:t>
      </w:r>
      <w:r>
        <w:rPr>
          <w:rFonts w:hint="eastAsia"/>
          <w:sz w:val="30"/>
          <w:szCs w:val="30"/>
        </w:rPr>
        <w:t>110000</w:t>
      </w:r>
      <w:r>
        <w:rPr>
          <w:rFonts w:hint="eastAsia"/>
          <w:sz w:val="30"/>
          <w:szCs w:val="30"/>
        </w:rPr>
        <w:t>元；</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日，广州市监察委员会向其退回人民币</w:t>
      </w:r>
      <w:r>
        <w:rPr>
          <w:rFonts w:hint="eastAsia"/>
          <w:sz w:val="30"/>
          <w:szCs w:val="30"/>
        </w:rPr>
        <w:t>6840</w:t>
      </w:r>
      <w:r>
        <w:rPr>
          <w:rFonts w:hint="eastAsia"/>
          <w:sz w:val="30"/>
          <w:szCs w:val="30"/>
        </w:rPr>
        <w:t>元。</w:t>
      </w:r>
    </w:p>
    <w:p w14:paraId="79034285" w14:textId="77777777" w:rsidR="00DD35D7" w:rsidRDefault="00DD35D7">
      <w:pPr>
        <w:spacing w:line="500" w:lineRule="atLeast"/>
        <w:ind w:firstLine="600"/>
        <w:divId w:val="88501063"/>
        <w:rPr>
          <w:rFonts w:hint="eastAsia"/>
          <w:sz w:val="30"/>
          <w:szCs w:val="30"/>
        </w:rPr>
      </w:pPr>
      <w:r>
        <w:rPr>
          <w:rFonts w:hint="eastAsia"/>
          <w:sz w:val="30"/>
          <w:szCs w:val="30"/>
        </w:rPr>
        <w:t>认定上述事实，有经原审庭审出示并经质证、认证的证据证实，证据来源合法，且确实、充分，本院予以确认。</w:t>
      </w:r>
    </w:p>
    <w:p w14:paraId="0D1BD6FD" w14:textId="77777777" w:rsidR="00DD35D7" w:rsidRDefault="00DD35D7">
      <w:pPr>
        <w:spacing w:line="500" w:lineRule="atLeast"/>
        <w:ind w:firstLine="600"/>
        <w:divId w:val="544099245"/>
        <w:rPr>
          <w:rFonts w:hint="eastAsia"/>
          <w:sz w:val="30"/>
          <w:szCs w:val="30"/>
        </w:rPr>
      </w:pPr>
      <w:r>
        <w:rPr>
          <w:rFonts w:hint="eastAsia"/>
          <w:sz w:val="30"/>
          <w:szCs w:val="30"/>
        </w:rPr>
        <w:t>对于上诉人林巍及其辩护人提出的上诉及辩护意见、检察员发表的出庭意见，本院综合评判如下：</w:t>
      </w:r>
    </w:p>
    <w:p w14:paraId="00136654" w14:textId="77777777" w:rsidR="00DD35D7" w:rsidRDefault="00DD35D7">
      <w:pPr>
        <w:spacing w:line="500" w:lineRule="atLeast"/>
        <w:ind w:firstLine="600"/>
        <w:divId w:val="996303987"/>
        <w:rPr>
          <w:rFonts w:hint="eastAsia"/>
          <w:sz w:val="30"/>
          <w:szCs w:val="30"/>
        </w:rPr>
      </w:pPr>
      <w:r>
        <w:rPr>
          <w:rFonts w:hint="eastAsia"/>
          <w:sz w:val="30"/>
          <w:szCs w:val="30"/>
        </w:rPr>
        <w:t>1.</w:t>
      </w:r>
      <w:r>
        <w:rPr>
          <w:rFonts w:hint="eastAsia"/>
          <w:sz w:val="30"/>
          <w:szCs w:val="30"/>
        </w:rPr>
        <w:t>关于上诉人林巍提出其只是在</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2</w:t>
      </w:r>
      <w:r>
        <w:rPr>
          <w:rFonts w:hint="eastAsia"/>
          <w:sz w:val="30"/>
          <w:szCs w:val="30"/>
        </w:rPr>
        <w:t>月担任广州市第三公共汽车公司纪委书记的意见。经查，中共广州市交通工作委员会的任免文件证实，林巍于</w:t>
      </w:r>
      <w:r>
        <w:rPr>
          <w:rFonts w:hint="eastAsia"/>
          <w:sz w:val="30"/>
          <w:szCs w:val="30"/>
        </w:rPr>
        <w:t>2003</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日期间担任广州市第三公共汽车公司副经理；</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日期间担任该公司纪委书记、工会主席。林巍所提该项意见与查明事实不符，本院不予采纳。</w:t>
      </w:r>
    </w:p>
    <w:p w14:paraId="034963C2" w14:textId="77777777" w:rsidR="00DD35D7" w:rsidRDefault="00DD35D7">
      <w:pPr>
        <w:spacing w:line="500" w:lineRule="atLeast"/>
        <w:ind w:firstLine="600"/>
        <w:divId w:val="748501996"/>
        <w:rPr>
          <w:rFonts w:hint="eastAsia"/>
          <w:sz w:val="30"/>
          <w:szCs w:val="30"/>
        </w:rPr>
      </w:pPr>
      <w:r>
        <w:rPr>
          <w:rFonts w:hint="eastAsia"/>
          <w:sz w:val="30"/>
          <w:szCs w:val="30"/>
        </w:rPr>
        <w:t>2.</w:t>
      </w:r>
      <w:r>
        <w:rPr>
          <w:rFonts w:hint="eastAsia"/>
          <w:sz w:val="30"/>
          <w:szCs w:val="30"/>
        </w:rPr>
        <w:t>关于上诉人林巍及其辩护人提出林巍没有参与广州市第三公共汽车公司领导班子违规发放补贴的讨论决策，不清楚所领补贴资金来源，林巍没有利用职务便利参与贪污的意见。经查，证人凤某、肖某、黄某</w:t>
      </w:r>
      <w:r>
        <w:rPr>
          <w:rFonts w:hint="eastAsia"/>
          <w:sz w:val="30"/>
          <w:szCs w:val="30"/>
        </w:rPr>
        <w:t>2</w:t>
      </w:r>
      <w:r>
        <w:rPr>
          <w:rFonts w:hint="eastAsia"/>
          <w:sz w:val="30"/>
          <w:szCs w:val="30"/>
        </w:rPr>
        <w:t>、游某</w:t>
      </w:r>
      <w:r>
        <w:rPr>
          <w:rFonts w:hint="eastAsia"/>
          <w:sz w:val="30"/>
          <w:szCs w:val="30"/>
        </w:rPr>
        <w:t>2</w:t>
      </w:r>
      <w:r>
        <w:rPr>
          <w:rFonts w:hint="eastAsia"/>
          <w:sz w:val="30"/>
          <w:szCs w:val="30"/>
        </w:rPr>
        <w:t>等人的证言一致证实，林巍从</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参与了广州市第三公共汽车公司领导班子成员会议通过虚假列支、虚假报销套取现金违规发放账外薪酬的讨论决策，全部班子成员均表示同意。林巍在侦查阶段的多堂供述及亲笔供词对此供认不讳。林巍利用先后担任广州市第三公共汽车公司副总经理、纪委书记、工会主席，作为公司领导班子成员的职务便利，与该公司其他领导班子成员共谋，参与讨论决策并违规领取账外薪酬，其行为应认定构成贪污罪。林巍及其辩护人所提上述意见与查明事实不符，本院不予采纳。</w:t>
      </w:r>
    </w:p>
    <w:p w14:paraId="3184C8A5" w14:textId="77777777" w:rsidR="00DD35D7" w:rsidRDefault="00DD35D7">
      <w:pPr>
        <w:spacing w:line="500" w:lineRule="atLeast"/>
        <w:ind w:firstLine="600"/>
        <w:divId w:val="1976451347"/>
        <w:rPr>
          <w:rFonts w:hint="eastAsia"/>
          <w:sz w:val="30"/>
          <w:szCs w:val="30"/>
        </w:rPr>
      </w:pPr>
      <w:r>
        <w:rPr>
          <w:rFonts w:hint="eastAsia"/>
          <w:sz w:val="30"/>
          <w:szCs w:val="30"/>
        </w:rPr>
        <w:t>3.</w:t>
      </w:r>
      <w:r>
        <w:rPr>
          <w:rFonts w:hint="eastAsia"/>
          <w:sz w:val="30"/>
          <w:szCs w:val="30"/>
        </w:rPr>
        <w:t>关于上诉人林巍及其辩护人提出林巍没有领取</w:t>
      </w:r>
      <w:r>
        <w:rPr>
          <w:rFonts w:hint="eastAsia"/>
          <w:sz w:val="30"/>
          <w:szCs w:val="30"/>
        </w:rPr>
        <w:t>2009</w:t>
      </w:r>
      <w:r>
        <w:rPr>
          <w:rFonts w:hint="eastAsia"/>
          <w:sz w:val="30"/>
          <w:szCs w:val="30"/>
        </w:rPr>
        <w:t>年绩效补差和年终慰问共</w:t>
      </w:r>
      <w:r>
        <w:rPr>
          <w:rFonts w:hint="eastAsia"/>
          <w:sz w:val="30"/>
          <w:szCs w:val="30"/>
        </w:rPr>
        <w:t>15000</w:t>
      </w:r>
      <w:r>
        <w:rPr>
          <w:rFonts w:hint="eastAsia"/>
          <w:sz w:val="30"/>
          <w:szCs w:val="30"/>
        </w:rPr>
        <w:t>元的意见。经查，司法会计鉴定报告证实，林巍在</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年期间共领取账外薪酬</w:t>
      </w:r>
      <w:r>
        <w:rPr>
          <w:rFonts w:hint="eastAsia"/>
          <w:sz w:val="30"/>
          <w:szCs w:val="30"/>
        </w:rPr>
        <w:t>103160</w:t>
      </w:r>
      <w:r>
        <w:rPr>
          <w:rFonts w:hint="eastAsia"/>
          <w:sz w:val="30"/>
          <w:szCs w:val="30"/>
        </w:rPr>
        <w:t>元。林巍对领取账外薪酬计算表签认在案，并在侦查阶段和一审庭审中均对其领取上述数额供认不讳。现有证据足以认定林巍个人领取</w:t>
      </w:r>
      <w:r>
        <w:rPr>
          <w:rFonts w:hint="eastAsia"/>
          <w:sz w:val="30"/>
          <w:szCs w:val="30"/>
        </w:rPr>
        <w:t>103160</w:t>
      </w:r>
      <w:r>
        <w:rPr>
          <w:rFonts w:hint="eastAsia"/>
          <w:sz w:val="30"/>
          <w:szCs w:val="30"/>
        </w:rPr>
        <w:t>元的事实。林巍及其辩护人虽提出该项辩解，但没有任何证据佐证，本院对此不予采纳。</w:t>
      </w:r>
    </w:p>
    <w:p w14:paraId="4E1227CB" w14:textId="77777777" w:rsidR="00DD35D7" w:rsidRDefault="00DD35D7">
      <w:pPr>
        <w:spacing w:line="500" w:lineRule="atLeast"/>
        <w:ind w:firstLine="600"/>
        <w:divId w:val="595137655"/>
        <w:rPr>
          <w:rFonts w:hint="eastAsia"/>
          <w:sz w:val="30"/>
          <w:szCs w:val="30"/>
        </w:rPr>
      </w:pPr>
      <w:r>
        <w:rPr>
          <w:rFonts w:hint="eastAsia"/>
          <w:sz w:val="30"/>
          <w:szCs w:val="30"/>
        </w:rPr>
        <w:t>4.</w:t>
      </w:r>
      <w:r>
        <w:rPr>
          <w:rFonts w:hint="eastAsia"/>
          <w:sz w:val="30"/>
          <w:szCs w:val="30"/>
        </w:rPr>
        <w:t>关于上诉人林巍及其辩护人提出林巍在共同贪污中属于从犯的意见。经查，在本案中，林巍先后担任广州市第三公共汽车公司副总经理、纪委书记、工会主席，参与公司领导班子违规发放账外薪酬的讨论决策，对于该公司主要领导关于发放违规发放账外薪酬的提议表态同意，在共同贪污犯罪中起到次要、辅助作用，依法应认定为从犯。林巍及其辩护人所提该项意见符合法律规定，本院予以采纳。</w:t>
      </w:r>
    </w:p>
    <w:p w14:paraId="298D73CF" w14:textId="77777777" w:rsidR="00DD35D7" w:rsidRDefault="00DD35D7">
      <w:pPr>
        <w:spacing w:line="500" w:lineRule="atLeast"/>
        <w:ind w:firstLine="600"/>
        <w:divId w:val="528840599"/>
        <w:rPr>
          <w:rFonts w:hint="eastAsia"/>
          <w:sz w:val="30"/>
          <w:szCs w:val="30"/>
        </w:rPr>
      </w:pPr>
      <w:r>
        <w:rPr>
          <w:rFonts w:hint="eastAsia"/>
          <w:sz w:val="30"/>
          <w:szCs w:val="30"/>
        </w:rPr>
        <w:t>5.</w:t>
      </w:r>
      <w:r>
        <w:rPr>
          <w:rFonts w:hint="eastAsia"/>
          <w:sz w:val="30"/>
          <w:szCs w:val="30"/>
        </w:rPr>
        <w:t>关于上诉人林巍及其辩护人提出林巍具有立功表现的意见。经查，根据刑法及相关司法解释的规定，立功是指犯罪分子到案后具有检举、揭发他人犯罪行为，经查证属实，或者提供重要线索，从而得以侦破其他案件，或者协助司法机关缉捕其他罪犯等情形的行为。林巍在</w:t>
      </w:r>
      <w:r>
        <w:rPr>
          <w:rFonts w:hint="eastAsia"/>
          <w:sz w:val="30"/>
          <w:szCs w:val="30"/>
        </w:rPr>
        <w:t>2008</w:t>
      </w:r>
      <w:r>
        <w:rPr>
          <w:rFonts w:hint="eastAsia"/>
          <w:sz w:val="30"/>
          <w:szCs w:val="30"/>
        </w:rPr>
        <w:t>年举报他人违法犯罪行为，而广州市监察委员会在</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日决定对林巍立案调查，林巍于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日到案接受调查，故依法不构成立功。林巍及其辩护人所提该项意见于法无据，本院不予采纳。</w:t>
      </w:r>
    </w:p>
    <w:p w14:paraId="32A0969B" w14:textId="77777777" w:rsidR="00DD35D7" w:rsidRDefault="00DD35D7">
      <w:pPr>
        <w:spacing w:line="500" w:lineRule="atLeast"/>
        <w:ind w:firstLine="600"/>
        <w:divId w:val="61951096"/>
        <w:rPr>
          <w:rFonts w:hint="eastAsia"/>
          <w:sz w:val="30"/>
          <w:szCs w:val="30"/>
        </w:rPr>
      </w:pPr>
      <w:r>
        <w:rPr>
          <w:rFonts w:hint="eastAsia"/>
          <w:sz w:val="30"/>
          <w:szCs w:val="30"/>
        </w:rPr>
        <w:t>6.</w:t>
      </w:r>
      <w:r>
        <w:rPr>
          <w:rFonts w:hint="eastAsia"/>
          <w:sz w:val="30"/>
          <w:szCs w:val="30"/>
        </w:rPr>
        <w:t>关于上诉人林巍及其辩护人提出本案已过追诉期限的意见。经查，林巍在</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年期间伙同同案人共同贪污</w:t>
      </w:r>
      <w:r>
        <w:rPr>
          <w:rFonts w:hint="eastAsia"/>
          <w:sz w:val="30"/>
          <w:szCs w:val="30"/>
        </w:rPr>
        <w:t>872191</w:t>
      </w:r>
      <w:r>
        <w:rPr>
          <w:rFonts w:hint="eastAsia"/>
          <w:sz w:val="30"/>
          <w:szCs w:val="30"/>
        </w:rPr>
        <w:t>元，依照《中华人民共和国刑法》第三百八十三条第一款第（二）项和《最高人民法院、最高人民检察院关于办理贪污贿赂刑事案件适用法律若干问题的解释》第二条的规定，属于贪污数额巨大，法定刑为三年以上十年以下有期徒刑。根据《中华人民共和国刑法》第八十七条之规定，法定最高刑为五年以上不满十年有期徒刑的，追诉期限为十年。广州市监察委员会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日对林巍职务犯罪问题立案调查，没有超过追诉期限。林巍及其辩护人所提该项意见与法律规定不符，本院不予采纳。</w:t>
      </w:r>
    </w:p>
    <w:p w14:paraId="55BE79F2" w14:textId="77777777" w:rsidR="00DD35D7" w:rsidRDefault="00DD35D7">
      <w:pPr>
        <w:spacing w:line="500" w:lineRule="atLeast"/>
        <w:ind w:firstLine="600"/>
        <w:divId w:val="1026902255"/>
        <w:rPr>
          <w:rFonts w:hint="eastAsia"/>
          <w:sz w:val="30"/>
          <w:szCs w:val="30"/>
        </w:rPr>
      </w:pPr>
      <w:r>
        <w:rPr>
          <w:rFonts w:hint="eastAsia"/>
          <w:sz w:val="30"/>
          <w:szCs w:val="30"/>
        </w:rPr>
        <w:t>本院认为，上诉人林巍身为国家工作人员，利用职务上的便利，伙同他人非法侵吞公共财产，数额巨大，其行为已构成贪污罪。林巍在共同犯罪中起次要、辅助作用，是从犯，应当从轻或者减轻处罚。林巍犯罪后自动投案，如实供述主要犯罪事实，是自首，可以减轻处罚。林巍在案发前主动退缴全部赃款，有悔罪表现，可酌情从轻处罚。林巍及其辩护人提出原判认定扣押赃款数额有误的意见属实，本院予以采纳。林巍及其辩护人请求对其免予刑事处罚的意见缺乏法律依据，本院不予支持。综上，原判认定犯罪事实清楚，证据确实、充分，适用法律正确，审判程序合法，惟未认定林巍属从犯致量刑过重、认定的扣押赃款数额不当且未判决发还广州市第三公共汽车公司，本院予以改判。依照《中华人民共和国刑事诉讼法》第二百三十六条第一款第（二）项以及《中华人民共和国刑法》第三百八十二条、第三百八十三条、第二十七条、第六十七条第一款、第五十二条、第五十三条、第六十四条、第七十二条、第七十三条、《最高人民法院、最高人民检察院关于办理贪污贿赂刑事案件适用法律若干问题的解释》第二条之规定，判决如下：</w:t>
      </w:r>
    </w:p>
    <w:p w14:paraId="07591741" w14:textId="77777777" w:rsidR="00DD35D7" w:rsidRDefault="00DD35D7">
      <w:pPr>
        <w:spacing w:line="500" w:lineRule="atLeast"/>
        <w:ind w:firstLine="600"/>
        <w:divId w:val="663820227"/>
        <w:rPr>
          <w:rFonts w:hint="eastAsia"/>
          <w:sz w:val="30"/>
          <w:szCs w:val="30"/>
        </w:rPr>
      </w:pPr>
      <w:r>
        <w:rPr>
          <w:rFonts w:hint="eastAsia"/>
          <w:sz w:val="30"/>
          <w:szCs w:val="30"/>
        </w:rPr>
        <w:t>一、维持广东省广州市番禺区人民法院（</w:t>
      </w:r>
      <w:r>
        <w:rPr>
          <w:rFonts w:hint="eastAsia"/>
          <w:sz w:val="30"/>
          <w:szCs w:val="30"/>
        </w:rPr>
        <w:t>2019</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1681</w:t>
      </w:r>
      <w:r>
        <w:rPr>
          <w:rFonts w:hint="eastAsia"/>
          <w:sz w:val="30"/>
          <w:szCs w:val="30"/>
        </w:rPr>
        <w:t>号刑事判决的第一项对原审被告人林巍犯贪污罪的定罪部分。</w:t>
      </w:r>
    </w:p>
    <w:p w14:paraId="7FDDC006" w14:textId="77777777" w:rsidR="00DD35D7" w:rsidRDefault="00DD35D7">
      <w:pPr>
        <w:spacing w:line="500" w:lineRule="atLeast"/>
        <w:ind w:firstLine="600"/>
        <w:divId w:val="438574183"/>
        <w:rPr>
          <w:rFonts w:hint="eastAsia"/>
          <w:sz w:val="30"/>
          <w:szCs w:val="30"/>
        </w:rPr>
      </w:pPr>
      <w:r>
        <w:rPr>
          <w:rFonts w:hint="eastAsia"/>
          <w:sz w:val="30"/>
          <w:szCs w:val="30"/>
        </w:rPr>
        <w:t>二、撤销广东省广州市番禺区人民法院（</w:t>
      </w:r>
      <w:r>
        <w:rPr>
          <w:rFonts w:hint="eastAsia"/>
          <w:sz w:val="30"/>
          <w:szCs w:val="30"/>
        </w:rPr>
        <w:t>2019</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1681</w:t>
      </w:r>
      <w:r>
        <w:rPr>
          <w:rFonts w:hint="eastAsia"/>
          <w:sz w:val="30"/>
          <w:szCs w:val="30"/>
        </w:rPr>
        <w:t>号刑事判决的第一项对原审被告人林巍犯贪污罪的量刑部分和第二项。</w:t>
      </w:r>
    </w:p>
    <w:p w14:paraId="791C94D8" w14:textId="77777777" w:rsidR="00DD35D7" w:rsidRDefault="00DD35D7">
      <w:pPr>
        <w:spacing w:line="500" w:lineRule="atLeast"/>
        <w:ind w:firstLine="600"/>
        <w:divId w:val="639043249"/>
        <w:rPr>
          <w:rFonts w:hint="eastAsia"/>
          <w:sz w:val="30"/>
          <w:szCs w:val="30"/>
        </w:rPr>
      </w:pPr>
      <w:r>
        <w:rPr>
          <w:rFonts w:hint="eastAsia"/>
          <w:sz w:val="30"/>
          <w:szCs w:val="30"/>
        </w:rPr>
        <w:t>三、上诉人林巍犯贪污罪，判处有期徒刑一年，缓刑一年，并处罚金人民币十万元。（缓刑考验期限自判决确定之日起计算；罚金于本判决发生法律效力次日起十日内向原审法院缴纳，上缴国库。）</w:t>
      </w:r>
    </w:p>
    <w:p w14:paraId="58872D9C" w14:textId="77777777" w:rsidR="00DD35D7" w:rsidRDefault="00DD35D7">
      <w:pPr>
        <w:spacing w:line="500" w:lineRule="atLeast"/>
        <w:ind w:firstLine="600"/>
        <w:divId w:val="1259680148"/>
        <w:rPr>
          <w:rFonts w:hint="eastAsia"/>
          <w:sz w:val="30"/>
          <w:szCs w:val="30"/>
        </w:rPr>
      </w:pPr>
      <w:r>
        <w:rPr>
          <w:rFonts w:hint="eastAsia"/>
          <w:sz w:val="30"/>
          <w:szCs w:val="30"/>
        </w:rPr>
        <w:t>四、扣押在案的上诉人林巍贪污所得赃款人民币</w:t>
      </w:r>
      <w:r>
        <w:rPr>
          <w:rFonts w:hint="eastAsia"/>
          <w:sz w:val="30"/>
          <w:szCs w:val="30"/>
        </w:rPr>
        <w:t>103160</w:t>
      </w:r>
      <w:r>
        <w:rPr>
          <w:rFonts w:hint="eastAsia"/>
          <w:sz w:val="30"/>
          <w:szCs w:val="30"/>
        </w:rPr>
        <w:t>元，予以没收，发还给广州市第三公共汽车公司。</w:t>
      </w:r>
    </w:p>
    <w:p w14:paraId="54ED9F59" w14:textId="77777777" w:rsidR="00DD35D7" w:rsidRDefault="00DD35D7">
      <w:pPr>
        <w:spacing w:line="500" w:lineRule="atLeast"/>
        <w:ind w:firstLine="600"/>
        <w:divId w:val="208877915"/>
        <w:rPr>
          <w:rFonts w:hint="eastAsia"/>
          <w:sz w:val="30"/>
          <w:szCs w:val="30"/>
        </w:rPr>
      </w:pPr>
      <w:r>
        <w:rPr>
          <w:rFonts w:hint="eastAsia"/>
          <w:sz w:val="30"/>
          <w:szCs w:val="30"/>
        </w:rPr>
        <w:t>本判决为终审判决。</w:t>
      </w:r>
    </w:p>
    <w:p w14:paraId="3B0705D4" w14:textId="77777777" w:rsidR="00DD35D7" w:rsidRDefault="00DD35D7">
      <w:pPr>
        <w:spacing w:line="500" w:lineRule="atLeast"/>
        <w:jc w:val="right"/>
        <w:divId w:val="1854567948"/>
        <w:rPr>
          <w:rFonts w:hint="eastAsia"/>
          <w:sz w:val="30"/>
          <w:szCs w:val="30"/>
        </w:rPr>
      </w:pPr>
      <w:r>
        <w:rPr>
          <w:rFonts w:hint="eastAsia"/>
          <w:sz w:val="30"/>
          <w:szCs w:val="30"/>
        </w:rPr>
        <w:t>审判长　　曹治华</w:t>
      </w:r>
    </w:p>
    <w:p w14:paraId="17777075" w14:textId="77777777" w:rsidR="00DD35D7" w:rsidRDefault="00DD35D7">
      <w:pPr>
        <w:spacing w:line="500" w:lineRule="atLeast"/>
        <w:jc w:val="right"/>
        <w:divId w:val="1122067630"/>
        <w:rPr>
          <w:rFonts w:hint="eastAsia"/>
          <w:sz w:val="30"/>
          <w:szCs w:val="30"/>
        </w:rPr>
      </w:pPr>
      <w:r>
        <w:rPr>
          <w:rFonts w:hint="eastAsia"/>
          <w:sz w:val="30"/>
          <w:szCs w:val="30"/>
        </w:rPr>
        <w:t>审判员　　马　兰</w:t>
      </w:r>
    </w:p>
    <w:p w14:paraId="5C21F532" w14:textId="77777777" w:rsidR="00DD35D7" w:rsidRDefault="00DD35D7">
      <w:pPr>
        <w:spacing w:line="500" w:lineRule="atLeast"/>
        <w:jc w:val="right"/>
        <w:divId w:val="27150864"/>
        <w:rPr>
          <w:rFonts w:hint="eastAsia"/>
          <w:sz w:val="30"/>
          <w:szCs w:val="30"/>
        </w:rPr>
      </w:pPr>
      <w:r>
        <w:rPr>
          <w:rFonts w:hint="eastAsia"/>
          <w:sz w:val="30"/>
          <w:szCs w:val="30"/>
        </w:rPr>
        <w:t>审判员　　林丽虹</w:t>
      </w:r>
    </w:p>
    <w:p w14:paraId="1DC85DF3" w14:textId="77777777" w:rsidR="00DD35D7" w:rsidRDefault="00DD35D7">
      <w:pPr>
        <w:spacing w:line="500" w:lineRule="atLeast"/>
        <w:jc w:val="right"/>
        <w:divId w:val="1581255371"/>
        <w:rPr>
          <w:rFonts w:hint="eastAsia"/>
          <w:sz w:val="30"/>
          <w:szCs w:val="30"/>
        </w:rPr>
      </w:pPr>
      <w:r>
        <w:rPr>
          <w:rFonts w:hint="eastAsia"/>
          <w:sz w:val="30"/>
          <w:szCs w:val="30"/>
        </w:rPr>
        <w:t>二〇二〇年三月二十三日</w:t>
      </w:r>
    </w:p>
    <w:p w14:paraId="2AC90480" w14:textId="77777777" w:rsidR="00DD35D7" w:rsidRDefault="00DD35D7">
      <w:pPr>
        <w:spacing w:line="500" w:lineRule="atLeast"/>
        <w:jc w:val="right"/>
        <w:divId w:val="466554909"/>
        <w:rPr>
          <w:rFonts w:hint="eastAsia"/>
          <w:sz w:val="30"/>
          <w:szCs w:val="30"/>
        </w:rPr>
      </w:pPr>
      <w:r>
        <w:rPr>
          <w:rFonts w:hint="eastAsia"/>
          <w:sz w:val="30"/>
          <w:szCs w:val="30"/>
        </w:rPr>
        <w:t>书记员　　谢韵静</w:t>
      </w:r>
    </w:p>
    <w:p w14:paraId="7CBE7870" w14:textId="77777777" w:rsidR="00DD35D7" w:rsidRDefault="00DD35D7">
      <w:pPr>
        <w:spacing w:line="500" w:lineRule="atLeast"/>
        <w:ind w:firstLine="600"/>
        <w:divId w:val="1178083343"/>
        <w:rPr>
          <w:rFonts w:hint="eastAsia"/>
          <w:sz w:val="30"/>
          <w:szCs w:val="30"/>
        </w:rPr>
      </w:pPr>
      <w:r>
        <w:rPr>
          <w:rFonts w:hint="eastAsia"/>
          <w:sz w:val="30"/>
          <w:szCs w:val="30"/>
        </w:rPr>
        <w:t>周婷婷</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1372C" w14:textId="77777777" w:rsidR="00064455" w:rsidRDefault="00064455" w:rsidP="00064455">
      <w:pPr>
        <w:rPr>
          <w:rFonts w:hint="eastAsia"/>
        </w:rPr>
      </w:pPr>
      <w:r>
        <w:separator/>
      </w:r>
    </w:p>
  </w:endnote>
  <w:endnote w:type="continuationSeparator" w:id="0">
    <w:p w14:paraId="601E9AF1" w14:textId="77777777" w:rsidR="00064455" w:rsidRDefault="00064455" w:rsidP="0006445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BE604" w14:textId="77777777" w:rsidR="00064455" w:rsidRDefault="00064455" w:rsidP="00064455">
      <w:pPr>
        <w:rPr>
          <w:rFonts w:hint="eastAsia"/>
        </w:rPr>
      </w:pPr>
      <w:r>
        <w:separator/>
      </w:r>
    </w:p>
  </w:footnote>
  <w:footnote w:type="continuationSeparator" w:id="0">
    <w:p w14:paraId="7E1FE777" w14:textId="77777777" w:rsidR="00064455" w:rsidRDefault="00064455" w:rsidP="0006445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64455"/>
    <w:rsid w:val="00064455"/>
    <w:rsid w:val="00A23C24"/>
    <w:rsid w:val="00DD35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AB704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64455"/>
    <w:pPr>
      <w:tabs>
        <w:tab w:val="center" w:pos="4153"/>
        <w:tab w:val="right" w:pos="8306"/>
      </w:tabs>
      <w:snapToGrid w:val="0"/>
      <w:jc w:val="center"/>
    </w:pPr>
    <w:rPr>
      <w:sz w:val="18"/>
      <w:szCs w:val="18"/>
    </w:rPr>
  </w:style>
  <w:style w:type="character" w:customStyle="1" w:styleId="a4">
    <w:name w:val="页眉 字符"/>
    <w:basedOn w:val="a0"/>
    <w:link w:val="a3"/>
    <w:uiPriority w:val="99"/>
    <w:rsid w:val="00064455"/>
    <w:rPr>
      <w:rFonts w:ascii="宋体" w:eastAsia="宋体" w:hAnsi="宋体" w:cs="宋体"/>
      <w:sz w:val="18"/>
      <w:szCs w:val="18"/>
    </w:rPr>
  </w:style>
  <w:style w:type="paragraph" w:styleId="a5">
    <w:name w:val="footer"/>
    <w:basedOn w:val="a"/>
    <w:link w:val="a6"/>
    <w:uiPriority w:val="99"/>
    <w:unhideWhenUsed/>
    <w:rsid w:val="00064455"/>
    <w:pPr>
      <w:tabs>
        <w:tab w:val="center" w:pos="4153"/>
        <w:tab w:val="right" w:pos="8306"/>
      </w:tabs>
      <w:snapToGrid w:val="0"/>
    </w:pPr>
    <w:rPr>
      <w:sz w:val="18"/>
      <w:szCs w:val="18"/>
    </w:rPr>
  </w:style>
  <w:style w:type="character" w:customStyle="1" w:styleId="a6">
    <w:name w:val="页脚 字符"/>
    <w:basedOn w:val="a0"/>
    <w:link w:val="a5"/>
    <w:uiPriority w:val="99"/>
    <w:rsid w:val="0006445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50864">
      <w:marLeft w:val="0"/>
      <w:marRight w:val="720"/>
      <w:marTop w:val="10"/>
      <w:marBottom w:val="10"/>
      <w:divBdr>
        <w:top w:val="none" w:sz="0" w:space="0" w:color="auto"/>
        <w:left w:val="none" w:sz="0" w:space="0" w:color="auto"/>
        <w:bottom w:val="none" w:sz="0" w:space="0" w:color="auto"/>
        <w:right w:val="none" w:sz="0" w:space="0" w:color="auto"/>
      </w:divBdr>
    </w:div>
    <w:div w:id="61951096">
      <w:marLeft w:val="0"/>
      <w:marRight w:val="0"/>
      <w:marTop w:val="10"/>
      <w:marBottom w:val="10"/>
      <w:divBdr>
        <w:top w:val="none" w:sz="0" w:space="0" w:color="auto"/>
        <w:left w:val="none" w:sz="0" w:space="0" w:color="auto"/>
        <w:bottom w:val="none" w:sz="0" w:space="0" w:color="auto"/>
        <w:right w:val="none" w:sz="0" w:space="0" w:color="auto"/>
      </w:divBdr>
    </w:div>
    <w:div w:id="88501063">
      <w:marLeft w:val="0"/>
      <w:marRight w:val="0"/>
      <w:marTop w:val="10"/>
      <w:marBottom w:val="10"/>
      <w:divBdr>
        <w:top w:val="none" w:sz="0" w:space="0" w:color="auto"/>
        <w:left w:val="none" w:sz="0" w:space="0" w:color="auto"/>
        <w:bottom w:val="none" w:sz="0" w:space="0" w:color="auto"/>
        <w:right w:val="none" w:sz="0" w:space="0" w:color="auto"/>
      </w:divBdr>
    </w:div>
    <w:div w:id="165023740">
      <w:marLeft w:val="0"/>
      <w:marRight w:val="0"/>
      <w:marTop w:val="10"/>
      <w:marBottom w:val="10"/>
      <w:divBdr>
        <w:top w:val="none" w:sz="0" w:space="0" w:color="auto"/>
        <w:left w:val="none" w:sz="0" w:space="0" w:color="auto"/>
        <w:bottom w:val="none" w:sz="0" w:space="0" w:color="auto"/>
        <w:right w:val="none" w:sz="0" w:space="0" w:color="auto"/>
      </w:divBdr>
    </w:div>
    <w:div w:id="208877915">
      <w:marLeft w:val="0"/>
      <w:marRight w:val="0"/>
      <w:marTop w:val="10"/>
      <w:marBottom w:val="10"/>
      <w:divBdr>
        <w:top w:val="none" w:sz="0" w:space="0" w:color="auto"/>
        <w:left w:val="none" w:sz="0" w:space="0" w:color="auto"/>
        <w:bottom w:val="none" w:sz="0" w:space="0" w:color="auto"/>
        <w:right w:val="none" w:sz="0" w:space="0" w:color="auto"/>
      </w:divBdr>
    </w:div>
    <w:div w:id="349768874">
      <w:marLeft w:val="0"/>
      <w:marRight w:val="0"/>
      <w:marTop w:val="10"/>
      <w:marBottom w:val="10"/>
      <w:divBdr>
        <w:top w:val="none" w:sz="0" w:space="0" w:color="auto"/>
        <w:left w:val="none" w:sz="0" w:space="0" w:color="auto"/>
        <w:bottom w:val="none" w:sz="0" w:space="0" w:color="auto"/>
        <w:right w:val="none" w:sz="0" w:space="0" w:color="auto"/>
      </w:divBdr>
    </w:div>
    <w:div w:id="409696501">
      <w:marLeft w:val="0"/>
      <w:marRight w:val="0"/>
      <w:marTop w:val="10"/>
      <w:marBottom w:val="10"/>
      <w:divBdr>
        <w:top w:val="none" w:sz="0" w:space="0" w:color="auto"/>
        <w:left w:val="none" w:sz="0" w:space="0" w:color="auto"/>
        <w:bottom w:val="none" w:sz="0" w:space="0" w:color="auto"/>
        <w:right w:val="none" w:sz="0" w:space="0" w:color="auto"/>
      </w:divBdr>
    </w:div>
    <w:div w:id="438574183">
      <w:marLeft w:val="0"/>
      <w:marRight w:val="0"/>
      <w:marTop w:val="10"/>
      <w:marBottom w:val="10"/>
      <w:divBdr>
        <w:top w:val="none" w:sz="0" w:space="0" w:color="auto"/>
        <w:left w:val="none" w:sz="0" w:space="0" w:color="auto"/>
        <w:bottom w:val="none" w:sz="0" w:space="0" w:color="auto"/>
        <w:right w:val="none" w:sz="0" w:space="0" w:color="auto"/>
      </w:divBdr>
    </w:div>
    <w:div w:id="466554909">
      <w:marLeft w:val="0"/>
      <w:marRight w:val="720"/>
      <w:marTop w:val="10"/>
      <w:marBottom w:val="10"/>
      <w:divBdr>
        <w:top w:val="none" w:sz="0" w:space="0" w:color="auto"/>
        <w:left w:val="none" w:sz="0" w:space="0" w:color="auto"/>
        <w:bottom w:val="none" w:sz="0" w:space="0" w:color="auto"/>
        <w:right w:val="none" w:sz="0" w:space="0" w:color="auto"/>
      </w:divBdr>
    </w:div>
    <w:div w:id="496458491">
      <w:marLeft w:val="0"/>
      <w:marRight w:val="0"/>
      <w:marTop w:val="10"/>
      <w:marBottom w:val="10"/>
      <w:divBdr>
        <w:top w:val="none" w:sz="0" w:space="0" w:color="auto"/>
        <w:left w:val="none" w:sz="0" w:space="0" w:color="auto"/>
        <w:bottom w:val="none" w:sz="0" w:space="0" w:color="auto"/>
        <w:right w:val="none" w:sz="0" w:space="0" w:color="auto"/>
      </w:divBdr>
    </w:div>
    <w:div w:id="528840599">
      <w:marLeft w:val="0"/>
      <w:marRight w:val="0"/>
      <w:marTop w:val="10"/>
      <w:marBottom w:val="10"/>
      <w:divBdr>
        <w:top w:val="none" w:sz="0" w:space="0" w:color="auto"/>
        <w:left w:val="none" w:sz="0" w:space="0" w:color="auto"/>
        <w:bottom w:val="none" w:sz="0" w:space="0" w:color="auto"/>
        <w:right w:val="none" w:sz="0" w:space="0" w:color="auto"/>
      </w:divBdr>
    </w:div>
    <w:div w:id="544099245">
      <w:marLeft w:val="0"/>
      <w:marRight w:val="0"/>
      <w:marTop w:val="10"/>
      <w:marBottom w:val="10"/>
      <w:divBdr>
        <w:top w:val="none" w:sz="0" w:space="0" w:color="auto"/>
        <w:left w:val="none" w:sz="0" w:space="0" w:color="auto"/>
        <w:bottom w:val="none" w:sz="0" w:space="0" w:color="auto"/>
        <w:right w:val="none" w:sz="0" w:space="0" w:color="auto"/>
      </w:divBdr>
    </w:div>
    <w:div w:id="595137655">
      <w:marLeft w:val="0"/>
      <w:marRight w:val="0"/>
      <w:marTop w:val="10"/>
      <w:marBottom w:val="10"/>
      <w:divBdr>
        <w:top w:val="none" w:sz="0" w:space="0" w:color="auto"/>
        <w:left w:val="none" w:sz="0" w:space="0" w:color="auto"/>
        <w:bottom w:val="none" w:sz="0" w:space="0" w:color="auto"/>
        <w:right w:val="none" w:sz="0" w:space="0" w:color="auto"/>
      </w:divBdr>
    </w:div>
    <w:div w:id="639043249">
      <w:marLeft w:val="0"/>
      <w:marRight w:val="0"/>
      <w:marTop w:val="10"/>
      <w:marBottom w:val="10"/>
      <w:divBdr>
        <w:top w:val="none" w:sz="0" w:space="0" w:color="auto"/>
        <w:left w:val="none" w:sz="0" w:space="0" w:color="auto"/>
        <w:bottom w:val="none" w:sz="0" w:space="0" w:color="auto"/>
        <w:right w:val="none" w:sz="0" w:space="0" w:color="auto"/>
      </w:divBdr>
    </w:div>
    <w:div w:id="652563622">
      <w:marLeft w:val="0"/>
      <w:marRight w:val="0"/>
      <w:marTop w:val="10"/>
      <w:marBottom w:val="10"/>
      <w:divBdr>
        <w:top w:val="none" w:sz="0" w:space="0" w:color="auto"/>
        <w:left w:val="none" w:sz="0" w:space="0" w:color="auto"/>
        <w:bottom w:val="none" w:sz="0" w:space="0" w:color="auto"/>
        <w:right w:val="none" w:sz="0" w:space="0" w:color="auto"/>
      </w:divBdr>
    </w:div>
    <w:div w:id="663820227">
      <w:marLeft w:val="0"/>
      <w:marRight w:val="0"/>
      <w:marTop w:val="10"/>
      <w:marBottom w:val="10"/>
      <w:divBdr>
        <w:top w:val="none" w:sz="0" w:space="0" w:color="auto"/>
        <w:left w:val="none" w:sz="0" w:space="0" w:color="auto"/>
        <w:bottom w:val="none" w:sz="0" w:space="0" w:color="auto"/>
        <w:right w:val="none" w:sz="0" w:space="0" w:color="auto"/>
      </w:divBdr>
    </w:div>
    <w:div w:id="748501996">
      <w:marLeft w:val="0"/>
      <w:marRight w:val="0"/>
      <w:marTop w:val="10"/>
      <w:marBottom w:val="10"/>
      <w:divBdr>
        <w:top w:val="none" w:sz="0" w:space="0" w:color="auto"/>
        <w:left w:val="none" w:sz="0" w:space="0" w:color="auto"/>
        <w:bottom w:val="none" w:sz="0" w:space="0" w:color="auto"/>
        <w:right w:val="none" w:sz="0" w:space="0" w:color="auto"/>
      </w:divBdr>
    </w:div>
    <w:div w:id="952439288">
      <w:marLeft w:val="0"/>
      <w:marRight w:val="0"/>
      <w:marTop w:val="10"/>
      <w:marBottom w:val="10"/>
      <w:divBdr>
        <w:top w:val="none" w:sz="0" w:space="0" w:color="auto"/>
        <w:left w:val="none" w:sz="0" w:space="0" w:color="auto"/>
        <w:bottom w:val="none" w:sz="0" w:space="0" w:color="auto"/>
        <w:right w:val="none" w:sz="0" w:space="0" w:color="auto"/>
      </w:divBdr>
    </w:div>
    <w:div w:id="996303987">
      <w:marLeft w:val="0"/>
      <w:marRight w:val="0"/>
      <w:marTop w:val="10"/>
      <w:marBottom w:val="10"/>
      <w:divBdr>
        <w:top w:val="none" w:sz="0" w:space="0" w:color="auto"/>
        <w:left w:val="none" w:sz="0" w:space="0" w:color="auto"/>
        <w:bottom w:val="none" w:sz="0" w:space="0" w:color="auto"/>
        <w:right w:val="none" w:sz="0" w:space="0" w:color="auto"/>
      </w:divBdr>
    </w:div>
    <w:div w:id="1026902255">
      <w:marLeft w:val="0"/>
      <w:marRight w:val="0"/>
      <w:marTop w:val="10"/>
      <w:marBottom w:val="10"/>
      <w:divBdr>
        <w:top w:val="none" w:sz="0" w:space="0" w:color="auto"/>
        <w:left w:val="none" w:sz="0" w:space="0" w:color="auto"/>
        <w:bottom w:val="none" w:sz="0" w:space="0" w:color="auto"/>
        <w:right w:val="none" w:sz="0" w:space="0" w:color="auto"/>
      </w:divBdr>
    </w:div>
    <w:div w:id="1062021932">
      <w:marLeft w:val="0"/>
      <w:marRight w:val="0"/>
      <w:marTop w:val="10"/>
      <w:marBottom w:val="10"/>
      <w:divBdr>
        <w:top w:val="none" w:sz="0" w:space="0" w:color="auto"/>
        <w:left w:val="none" w:sz="0" w:space="0" w:color="auto"/>
        <w:bottom w:val="none" w:sz="0" w:space="0" w:color="auto"/>
        <w:right w:val="none" w:sz="0" w:space="0" w:color="auto"/>
      </w:divBdr>
    </w:div>
    <w:div w:id="1122067630">
      <w:marLeft w:val="0"/>
      <w:marRight w:val="720"/>
      <w:marTop w:val="10"/>
      <w:marBottom w:val="10"/>
      <w:divBdr>
        <w:top w:val="none" w:sz="0" w:space="0" w:color="auto"/>
        <w:left w:val="none" w:sz="0" w:space="0" w:color="auto"/>
        <w:bottom w:val="none" w:sz="0" w:space="0" w:color="auto"/>
        <w:right w:val="none" w:sz="0" w:space="0" w:color="auto"/>
      </w:divBdr>
    </w:div>
    <w:div w:id="1142424372">
      <w:marLeft w:val="0"/>
      <w:marRight w:val="0"/>
      <w:marTop w:val="10"/>
      <w:marBottom w:val="10"/>
      <w:divBdr>
        <w:top w:val="none" w:sz="0" w:space="0" w:color="auto"/>
        <w:left w:val="none" w:sz="0" w:space="0" w:color="auto"/>
        <w:bottom w:val="none" w:sz="0" w:space="0" w:color="auto"/>
        <w:right w:val="none" w:sz="0" w:space="0" w:color="auto"/>
      </w:divBdr>
    </w:div>
    <w:div w:id="1178083343">
      <w:marLeft w:val="0"/>
      <w:marRight w:val="0"/>
      <w:marTop w:val="10"/>
      <w:marBottom w:val="10"/>
      <w:divBdr>
        <w:top w:val="none" w:sz="0" w:space="0" w:color="auto"/>
        <w:left w:val="none" w:sz="0" w:space="0" w:color="auto"/>
        <w:bottom w:val="none" w:sz="0" w:space="0" w:color="auto"/>
        <w:right w:val="none" w:sz="0" w:space="0" w:color="auto"/>
      </w:divBdr>
    </w:div>
    <w:div w:id="1259680148">
      <w:marLeft w:val="0"/>
      <w:marRight w:val="0"/>
      <w:marTop w:val="10"/>
      <w:marBottom w:val="10"/>
      <w:divBdr>
        <w:top w:val="none" w:sz="0" w:space="0" w:color="auto"/>
        <w:left w:val="none" w:sz="0" w:space="0" w:color="auto"/>
        <w:bottom w:val="none" w:sz="0" w:space="0" w:color="auto"/>
        <w:right w:val="none" w:sz="0" w:space="0" w:color="auto"/>
      </w:divBdr>
    </w:div>
    <w:div w:id="1260942042">
      <w:marLeft w:val="0"/>
      <w:marRight w:val="0"/>
      <w:marTop w:val="10"/>
      <w:marBottom w:val="10"/>
      <w:divBdr>
        <w:top w:val="none" w:sz="0" w:space="0" w:color="auto"/>
        <w:left w:val="none" w:sz="0" w:space="0" w:color="auto"/>
        <w:bottom w:val="none" w:sz="0" w:space="0" w:color="auto"/>
        <w:right w:val="none" w:sz="0" w:space="0" w:color="auto"/>
      </w:divBdr>
    </w:div>
    <w:div w:id="1431394164">
      <w:marLeft w:val="0"/>
      <w:marRight w:val="0"/>
      <w:marTop w:val="10"/>
      <w:marBottom w:val="10"/>
      <w:divBdr>
        <w:top w:val="none" w:sz="0" w:space="0" w:color="auto"/>
        <w:left w:val="none" w:sz="0" w:space="0" w:color="auto"/>
        <w:bottom w:val="none" w:sz="0" w:space="0" w:color="auto"/>
        <w:right w:val="none" w:sz="0" w:space="0" w:color="auto"/>
      </w:divBdr>
    </w:div>
    <w:div w:id="1554005937">
      <w:marLeft w:val="0"/>
      <w:marRight w:val="0"/>
      <w:marTop w:val="10"/>
      <w:marBottom w:val="10"/>
      <w:divBdr>
        <w:top w:val="none" w:sz="0" w:space="0" w:color="auto"/>
        <w:left w:val="none" w:sz="0" w:space="0" w:color="auto"/>
        <w:bottom w:val="none" w:sz="0" w:space="0" w:color="auto"/>
        <w:right w:val="none" w:sz="0" w:space="0" w:color="auto"/>
      </w:divBdr>
    </w:div>
    <w:div w:id="1560051646">
      <w:marLeft w:val="0"/>
      <w:marRight w:val="0"/>
      <w:marTop w:val="10"/>
      <w:marBottom w:val="10"/>
      <w:divBdr>
        <w:top w:val="none" w:sz="0" w:space="0" w:color="auto"/>
        <w:left w:val="none" w:sz="0" w:space="0" w:color="auto"/>
        <w:bottom w:val="none" w:sz="0" w:space="0" w:color="auto"/>
        <w:right w:val="none" w:sz="0" w:space="0" w:color="auto"/>
      </w:divBdr>
    </w:div>
    <w:div w:id="1581255371">
      <w:marLeft w:val="0"/>
      <w:marRight w:val="720"/>
      <w:marTop w:val="10"/>
      <w:marBottom w:val="10"/>
      <w:divBdr>
        <w:top w:val="none" w:sz="0" w:space="0" w:color="auto"/>
        <w:left w:val="none" w:sz="0" w:space="0" w:color="auto"/>
        <w:bottom w:val="none" w:sz="0" w:space="0" w:color="auto"/>
        <w:right w:val="none" w:sz="0" w:space="0" w:color="auto"/>
      </w:divBdr>
    </w:div>
    <w:div w:id="1738354363">
      <w:marLeft w:val="0"/>
      <w:marRight w:val="0"/>
      <w:marTop w:val="10"/>
      <w:marBottom w:val="10"/>
      <w:divBdr>
        <w:top w:val="none" w:sz="0" w:space="0" w:color="auto"/>
        <w:left w:val="none" w:sz="0" w:space="0" w:color="auto"/>
        <w:bottom w:val="none" w:sz="0" w:space="0" w:color="auto"/>
        <w:right w:val="none" w:sz="0" w:space="0" w:color="auto"/>
      </w:divBdr>
    </w:div>
    <w:div w:id="1744254277">
      <w:marLeft w:val="0"/>
      <w:marRight w:val="0"/>
      <w:marTop w:val="10"/>
      <w:marBottom w:val="10"/>
      <w:divBdr>
        <w:top w:val="none" w:sz="0" w:space="0" w:color="auto"/>
        <w:left w:val="none" w:sz="0" w:space="0" w:color="auto"/>
        <w:bottom w:val="none" w:sz="0" w:space="0" w:color="auto"/>
        <w:right w:val="none" w:sz="0" w:space="0" w:color="auto"/>
      </w:divBdr>
    </w:div>
    <w:div w:id="1854567948">
      <w:marLeft w:val="0"/>
      <w:marRight w:val="720"/>
      <w:marTop w:val="10"/>
      <w:marBottom w:val="10"/>
      <w:divBdr>
        <w:top w:val="none" w:sz="0" w:space="0" w:color="auto"/>
        <w:left w:val="none" w:sz="0" w:space="0" w:color="auto"/>
        <w:bottom w:val="none" w:sz="0" w:space="0" w:color="auto"/>
        <w:right w:val="none" w:sz="0" w:space="0" w:color="auto"/>
      </w:divBdr>
    </w:div>
    <w:div w:id="197645134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665</Words>
  <Characters>3797</Characters>
  <Application>Microsoft Office Word</Application>
  <DocSecurity>0</DocSecurity>
  <Lines>31</Lines>
  <Paragraphs>8</Paragraphs>
  <ScaleCrop>false</ScaleCrop>
  <Company/>
  <LinksUpToDate>false</LinksUpToDate>
  <CharactersWithSpaces>4454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2025-04-30T08:12:00Z</dcterms:created>
  <dcterms:modified xsi:type="dcterms:W3CDTF">2025-04-30T08:12:00Z</dcterms:modified>
</cp:coreProperties>
</file>