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A21C6" w:rsidRDefault="005A21C6">
      <w:pPr>
        <w:spacing w:line="500" w:lineRule="atLeast"/>
        <w:jc w:val="center"/>
        <w:divId w:val="1095518294"/>
        <w:rPr>
          <w:rFonts w:ascii="黑体" w:eastAsia="黑体" w:hAnsi="黑体"/>
          <w:sz w:val="36"/>
          <w:szCs w:val="36"/>
        </w:rPr>
      </w:pPr>
      <w:r>
        <w:rPr>
          <w:rFonts w:ascii="黑体" w:eastAsia="黑体" w:hAnsi="黑体" w:hint="eastAsia"/>
          <w:sz w:val="36"/>
          <w:szCs w:val="36"/>
        </w:rPr>
        <w:t>广东省深圳市南山区人民法院</w:t>
      </w:r>
    </w:p>
    <w:p w:rsidR="005A21C6" w:rsidRDefault="005A21C6">
      <w:pPr>
        <w:spacing w:line="500" w:lineRule="atLeast"/>
        <w:jc w:val="center"/>
        <w:divId w:val="9205294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A21C6" w:rsidRDefault="005A21C6">
      <w:pPr>
        <w:spacing w:line="500" w:lineRule="atLeast"/>
        <w:jc w:val="right"/>
        <w:divId w:val="1971865189"/>
        <w:rPr>
          <w:rFonts w:hint="eastAsia"/>
          <w:sz w:val="30"/>
          <w:szCs w:val="30"/>
        </w:rPr>
      </w:pPr>
      <w:r>
        <w:rPr>
          <w:rFonts w:hint="eastAsia"/>
          <w:sz w:val="30"/>
          <w:szCs w:val="30"/>
        </w:rPr>
        <w:t>（</w:t>
      </w:r>
      <w:r>
        <w:rPr>
          <w:rFonts w:hint="eastAsia"/>
          <w:sz w:val="30"/>
          <w:szCs w:val="30"/>
        </w:rPr>
        <w:t>2015</w:t>
      </w:r>
      <w:r>
        <w:rPr>
          <w:rFonts w:hint="eastAsia"/>
          <w:sz w:val="30"/>
          <w:szCs w:val="30"/>
        </w:rPr>
        <w:t>）深南法刑初字第</w:t>
      </w:r>
      <w:r>
        <w:rPr>
          <w:rFonts w:hint="eastAsia"/>
          <w:sz w:val="30"/>
          <w:szCs w:val="30"/>
        </w:rPr>
        <w:t>1066</w:t>
      </w:r>
      <w:r>
        <w:rPr>
          <w:rFonts w:hint="eastAsia"/>
          <w:sz w:val="30"/>
          <w:szCs w:val="30"/>
        </w:rPr>
        <w:t>号</w:t>
      </w:r>
    </w:p>
    <w:p w:rsidR="005A21C6" w:rsidRDefault="005A21C6">
      <w:pPr>
        <w:spacing w:line="500" w:lineRule="atLeast"/>
        <w:ind w:firstLine="600"/>
        <w:divId w:val="627012439"/>
        <w:rPr>
          <w:rFonts w:hint="eastAsia"/>
          <w:sz w:val="30"/>
          <w:szCs w:val="30"/>
        </w:rPr>
      </w:pPr>
      <w:r>
        <w:rPr>
          <w:rFonts w:hint="eastAsia"/>
          <w:sz w:val="30"/>
          <w:szCs w:val="30"/>
        </w:rPr>
        <w:t>公诉机关广东省深圳市南山区人民检察院。</w:t>
      </w:r>
    </w:p>
    <w:p w:rsidR="005A21C6" w:rsidRDefault="005A21C6">
      <w:pPr>
        <w:spacing w:line="500" w:lineRule="atLeast"/>
        <w:ind w:firstLine="600"/>
        <w:divId w:val="1990556332"/>
        <w:rPr>
          <w:rFonts w:hint="eastAsia"/>
          <w:sz w:val="30"/>
          <w:szCs w:val="30"/>
        </w:rPr>
      </w:pPr>
      <w:r>
        <w:rPr>
          <w:rFonts w:hint="eastAsia"/>
          <w:sz w:val="30"/>
          <w:szCs w:val="30"/>
        </w:rPr>
        <w:t>被告单位深圳龙岗布吉裕兴实业有限公司，企业类型：有限责任公司，地址：深圳市龙岗区布吉老圩村布吉路</w:t>
      </w:r>
      <w:r>
        <w:rPr>
          <w:rFonts w:hint="eastAsia"/>
          <w:sz w:val="30"/>
          <w:szCs w:val="30"/>
        </w:rPr>
        <w:t>28</w:t>
      </w:r>
      <w:r>
        <w:rPr>
          <w:rFonts w:hint="eastAsia"/>
          <w:sz w:val="30"/>
          <w:szCs w:val="30"/>
        </w:rPr>
        <w:t>号。</w:t>
      </w:r>
    </w:p>
    <w:p w:rsidR="005A21C6" w:rsidRDefault="005A21C6">
      <w:pPr>
        <w:spacing w:line="500" w:lineRule="atLeast"/>
        <w:ind w:firstLine="600"/>
        <w:divId w:val="1130628804"/>
        <w:rPr>
          <w:rFonts w:hint="eastAsia"/>
          <w:sz w:val="30"/>
          <w:szCs w:val="30"/>
        </w:rPr>
      </w:pPr>
      <w:r>
        <w:rPr>
          <w:rFonts w:hint="eastAsia"/>
          <w:sz w:val="30"/>
          <w:szCs w:val="30"/>
        </w:rPr>
        <w:t>诉讼代表人黄娣，系被告单位办公室主任。</w:t>
      </w:r>
    </w:p>
    <w:p w:rsidR="005A21C6" w:rsidRDefault="005A21C6">
      <w:pPr>
        <w:spacing w:line="500" w:lineRule="atLeast"/>
        <w:ind w:firstLine="600"/>
        <w:divId w:val="643780141"/>
        <w:rPr>
          <w:rFonts w:hint="eastAsia"/>
          <w:sz w:val="30"/>
          <w:szCs w:val="30"/>
        </w:rPr>
      </w:pPr>
      <w:r>
        <w:rPr>
          <w:rFonts w:hint="eastAsia"/>
          <w:sz w:val="30"/>
          <w:szCs w:val="30"/>
        </w:rPr>
        <w:t>被告人朱某，户籍地深圳市龙岗区，原深圳龙岗布吉裕兴实业有限公司董事长、法定代表人，现任总经理，住深圳市龙岗区。因本案于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日被深圳市人民检察院职务犯罪侦查部带回该院接受讯问，同日经深圳市人民检察院决定对其取保候审。</w:t>
      </w:r>
    </w:p>
    <w:p w:rsidR="005A21C6" w:rsidRDefault="005A21C6">
      <w:pPr>
        <w:spacing w:line="500" w:lineRule="atLeast"/>
        <w:ind w:firstLine="600"/>
        <w:divId w:val="853344614"/>
        <w:rPr>
          <w:rFonts w:hint="eastAsia"/>
          <w:sz w:val="30"/>
          <w:szCs w:val="30"/>
        </w:rPr>
      </w:pPr>
      <w:r>
        <w:rPr>
          <w:rFonts w:hint="eastAsia"/>
          <w:sz w:val="30"/>
          <w:szCs w:val="30"/>
        </w:rPr>
        <w:t>深圳市南山区人民检察院以深南检刑诉（</w:t>
      </w:r>
      <w:r>
        <w:rPr>
          <w:rFonts w:hint="eastAsia"/>
          <w:sz w:val="30"/>
          <w:szCs w:val="30"/>
        </w:rPr>
        <w:t>2015</w:t>
      </w:r>
      <w:r>
        <w:rPr>
          <w:rFonts w:hint="eastAsia"/>
          <w:sz w:val="30"/>
          <w:szCs w:val="30"/>
        </w:rPr>
        <w:t>）</w:t>
      </w:r>
      <w:r>
        <w:rPr>
          <w:rFonts w:hint="eastAsia"/>
          <w:sz w:val="30"/>
          <w:szCs w:val="30"/>
        </w:rPr>
        <w:t>1050</w:t>
      </w:r>
      <w:r>
        <w:rPr>
          <w:rFonts w:hint="eastAsia"/>
          <w:sz w:val="30"/>
          <w:szCs w:val="30"/>
        </w:rPr>
        <w:t>号起诉书指控被告单位深圳龙岗布吉裕兴实业有限公司、被告人朱某犯单位行贿罪，于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向本院提起公诉。本院依法组成合议庭，公开开庭审理了本案。深圳市南山区人民检察院指派检察员吴萏出庭支持公诉，被告单位深圳龙岗布吉裕兴实业有限公司及其诉讼代表人黄娣，被告人朱某到庭参加诉讼。本案现已审理终结。</w:t>
      </w:r>
    </w:p>
    <w:p w:rsidR="005A21C6" w:rsidRDefault="005A21C6">
      <w:pPr>
        <w:spacing w:line="500" w:lineRule="atLeast"/>
        <w:ind w:firstLine="600"/>
        <w:divId w:val="723868713"/>
        <w:rPr>
          <w:rFonts w:hint="eastAsia"/>
          <w:sz w:val="30"/>
          <w:szCs w:val="30"/>
        </w:rPr>
      </w:pPr>
      <w:r>
        <w:rPr>
          <w:rFonts w:hint="eastAsia"/>
          <w:sz w:val="30"/>
          <w:szCs w:val="30"/>
        </w:rPr>
        <w:t>经依法审理查明：</w:t>
      </w:r>
      <w:r>
        <w:rPr>
          <w:rFonts w:hint="eastAsia"/>
          <w:sz w:val="30"/>
          <w:szCs w:val="30"/>
        </w:rPr>
        <w:t>2012</w:t>
      </w:r>
      <w:r>
        <w:rPr>
          <w:rFonts w:hint="eastAsia"/>
          <w:sz w:val="30"/>
          <w:szCs w:val="30"/>
        </w:rPr>
        <w:t>年上半年，被告单位深圳龙岗布吉裕兴实业有限公司（下称裕兴公司）与深圳市联顺房地产开发有限公司（下称联顺公司）产生布吉广场</w:t>
      </w:r>
      <w:r>
        <w:rPr>
          <w:rFonts w:hint="eastAsia"/>
          <w:sz w:val="30"/>
          <w:szCs w:val="30"/>
        </w:rPr>
        <w:t>5</w:t>
      </w:r>
      <w:r>
        <w:rPr>
          <w:rFonts w:hint="eastAsia"/>
          <w:sz w:val="30"/>
          <w:szCs w:val="30"/>
        </w:rPr>
        <w:t>、</w:t>
      </w:r>
      <w:r>
        <w:rPr>
          <w:rFonts w:hint="eastAsia"/>
          <w:sz w:val="30"/>
          <w:szCs w:val="30"/>
        </w:rPr>
        <w:t>7</w:t>
      </w:r>
      <w:r>
        <w:rPr>
          <w:rFonts w:hint="eastAsia"/>
          <w:sz w:val="30"/>
          <w:szCs w:val="30"/>
        </w:rPr>
        <w:t>楼的租赁合同纠纷，联顺公司向龙岗法院提起诉讼。为在合同租赁纠纷诉讼中获得有利于裕兴公司的判决，被告人朱某于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月，送给深圳市龙岗区人民法院布吉法庭原庭长胡某（另案处理）港币</w:t>
      </w:r>
      <w:r>
        <w:rPr>
          <w:rFonts w:hint="eastAsia"/>
          <w:sz w:val="30"/>
          <w:szCs w:val="30"/>
        </w:rPr>
        <w:t>10</w:t>
      </w:r>
      <w:r>
        <w:rPr>
          <w:rFonts w:hint="eastAsia"/>
          <w:sz w:val="30"/>
          <w:szCs w:val="30"/>
        </w:rPr>
        <w:t>万元。后在胡某和黄某的帮助下，一审判决驳回原告联顺公司关于解除租赁合同的诉求，裕兴公司得以继续租赁布吉广场</w:t>
      </w:r>
      <w:r>
        <w:rPr>
          <w:rFonts w:hint="eastAsia"/>
          <w:sz w:val="30"/>
          <w:szCs w:val="30"/>
        </w:rPr>
        <w:lastRenderedPageBreak/>
        <w:t>的商铺。联顺公司不服上诉，龙岗法院发回布吉法庭重审期间，联顺公司和裕兴公司达成和解协议。</w:t>
      </w:r>
    </w:p>
    <w:p w:rsidR="005A21C6" w:rsidRDefault="005A21C6">
      <w:pPr>
        <w:spacing w:line="500" w:lineRule="atLeast"/>
        <w:ind w:firstLine="600"/>
        <w:divId w:val="746073308"/>
        <w:rPr>
          <w:rFonts w:hint="eastAsia"/>
          <w:sz w:val="30"/>
          <w:szCs w:val="30"/>
        </w:rPr>
      </w:pPr>
      <w:r>
        <w:rPr>
          <w:rFonts w:hint="eastAsia"/>
          <w:sz w:val="30"/>
          <w:szCs w:val="30"/>
        </w:rPr>
        <w:t>2013</w:t>
      </w:r>
      <w:r>
        <w:rPr>
          <w:rFonts w:hint="eastAsia"/>
          <w:sz w:val="30"/>
          <w:szCs w:val="30"/>
        </w:rPr>
        <w:t>年上半年，深圳市晋尔雅物业管理有限公司（下称晋尔雅公司）向龙岗法院起诉裕兴公司，要求法院判决晋尔雅公司与裕兴公司签订的布吉广场物业管理合同无效。被告人朱某为拖延审判争取时间申请物业管理资质并获得有利判决，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月送给黄某港币</w:t>
      </w:r>
      <w:r>
        <w:rPr>
          <w:rFonts w:hint="eastAsia"/>
          <w:sz w:val="30"/>
          <w:szCs w:val="30"/>
        </w:rPr>
        <w:t>10</w:t>
      </w:r>
      <w:r>
        <w:rPr>
          <w:rFonts w:hint="eastAsia"/>
          <w:sz w:val="30"/>
          <w:szCs w:val="30"/>
        </w:rPr>
        <w:t>万元。在黄某的帮助下，案件得到了拖延，但朱某未能申请到物业管理资质，龙岗法院布吉法庭一审判决物业管理合同无效，仍由裕兴公司继续经营管理布吉中心广场的物业。后裕兴公司与晋尔雅公司达成和解协议，该物业仍由裕兴公司管理。</w:t>
      </w:r>
    </w:p>
    <w:p w:rsidR="005A21C6" w:rsidRDefault="005A21C6">
      <w:pPr>
        <w:spacing w:line="500" w:lineRule="atLeast"/>
        <w:ind w:firstLine="600"/>
        <w:divId w:val="307441506"/>
        <w:rPr>
          <w:rFonts w:hint="eastAsia"/>
          <w:sz w:val="30"/>
          <w:szCs w:val="30"/>
        </w:rPr>
      </w:pPr>
      <w:r>
        <w:rPr>
          <w:rFonts w:hint="eastAsia"/>
          <w:sz w:val="30"/>
          <w:szCs w:val="30"/>
        </w:rPr>
        <w:t>另查明，被告人朱某于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日接受深圳市人民检察院反贪污贿赂局调查时主动交待了其向黄某行贿港币</w:t>
      </w:r>
      <w:r>
        <w:rPr>
          <w:rFonts w:hint="eastAsia"/>
          <w:sz w:val="30"/>
          <w:szCs w:val="30"/>
        </w:rPr>
        <w:t>20</w:t>
      </w:r>
      <w:r>
        <w:rPr>
          <w:rFonts w:hint="eastAsia"/>
          <w:sz w:val="30"/>
          <w:szCs w:val="30"/>
        </w:rPr>
        <w:t>万元及向胡某行贿港币</w:t>
      </w:r>
      <w:r>
        <w:rPr>
          <w:rFonts w:hint="eastAsia"/>
          <w:sz w:val="30"/>
          <w:szCs w:val="30"/>
        </w:rPr>
        <w:t>10</w:t>
      </w:r>
      <w:r>
        <w:rPr>
          <w:rFonts w:hint="eastAsia"/>
          <w:sz w:val="30"/>
          <w:szCs w:val="30"/>
        </w:rPr>
        <w:t>万元的犯罪事实。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日深圳市人民检察院对本案刑事立案。</w:t>
      </w:r>
    </w:p>
    <w:p w:rsidR="005A21C6" w:rsidRDefault="005A21C6">
      <w:pPr>
        <w:spacing w:line="500" w:lineRule="atLeast"/>
        <w:ind w:firstLine="600"/>
        <w:divId w:val="1591157239"/>
        <w:rPr>
          <w:rFonts w:hint="eastAsia"/>
          <w:sz w:val="30"/>
          <w:szCs w:val="30"/>
        </w:rPr>
      </w:pPr>
      <w:r>
        <w:rPr>
          <w:rFonts w:hint="eastAsia"/>
          <w:sz w:val="30"/>
          <w:szCs w:val="30"/>
        </w:rPr>
        <w:t>上述事实被告单位深圳龙岗布吉裕兴实业有限公司、被告人朱某在庭审过程中亦无异议，并有被告人朱某的户籍资料、深圳龙岗布吉裕兴实业有限公司的公司工商注册资料、深圳市龙岗区人民法院民事裁定书、深圳市龙岗区人民法院民事判决书、到案经过、被告单位的诉讼代表人授权委托书，证人胡某、黄某的证言，被告人朱某的供述与辩解等证据。</w:t>
      </w:r>
    </w:p>
    <w:p w:rsidR="005A21C6" w:rsidRDefault="005A21C6">
      <w:pPr>
        <w:spacing w:line="500" w:lineRule="atLeast"/>
        <w:ind w:firstLine="600"/>
        <w:divId w:val="31268167"/>
        <w:rPr>
          <w:rFonts w:hint="eastAsia"/>
          <w:sz w:val="30"/>
          <w:szCs w:val="30"/>
        </w:rPr>
      </w:pPr>
      <w:r>
        <w:rPr>
          <w:rFonts w:hint="eastAsia"/>
          <w:sz w:val="30"/>
          <w:szCs w:val="30"/>
        </w:rPr>
        <w:t>公诉机关认为，被告单位深圳龙岗布吉裕兴实业有限公司为谋取不正当利益，给予国家工作人员以贿赂共计港币</w:t>
      </w:r>
      <w:r>
        <w:rPr>
          <w:rFonts w:hint="eastAsia"/>
          <w:sz w:val="30"/>
          <w:szCs w:val="30"/>
        </w:rPr>
        <w:t>30</w:t>
      </w:r>
      <w:r>
        <w:rPr>
          <w:rFonts w:hint="eastAsia"/>
          <w:sz w:val="30"/>
          <w:szCs w:val="30"/>
        </w:rPr>
        <w:t>万元，其行为已构成单位行贿罪，被告人朱某作为直接责任人员，其行为亦构成单位行贿罪。提请法院依法惩处，并向本院提交深南检量建（</w:t>
      </w:r>
      <w:r>
        <w:rPr>
          <w:rFonts w:hint="eastAsia"/>
          <w:sz w:val="30"/>
          <w:szCs w:val="30"/>
        </w:rPr>
        <w:t>2015</w:t>
      </w:r>
      <w:r>
        <w:rPr>
          <w:rFonts w:hint="eastAsia"/>
          <w:sz w:val="30"/>
          <w:szCs w:val="30"/>
        </w:rPr>
        <w:t>）</w:t>
      </w:r>
      <w:r>
        <w:rPr>
          <w:rFonts w:hint="eastAsia"/>
          <w:sz w:val="30"/>
          <w:szCs w:val="30"/>
        </w:rPr>
        <w:t>1013</w:t>
      </w:r>
      <w:r>
        <w:rPr>
          <w:rFonts w:hint="eastAsia"/>
          <w:sz w:val="30"/>
          <w:szCs w:val="30"/>
        </w:rPr>
        <w:t>号量刑建议书，建议对被告单位判处罚金，对被告人朱某判处一年以下有期徒刑。</w:t>
      </w:r>
    </w:p>
    <w:p w:rsidR="005A21C6" w:rsidRDefault="005A21C6">
      <w:pPr>
        <w:spacing w:line="500" w:lineRule="atLeast"/>
        <w:ind w:firstLine="600"/>
        <w:divId w:val="741676845"/>
        <w:rPr>
          <w:rFonts w:hint="eastAsia"/>
          <w:sz w:val="30"/>
          <w:szCs w:val="30"/>
        </w:rPr>
      </w:pPr>
      <w:r>
        <w:rPr>
          <w:rFonts w:hint="eastAsia"/>
          <w:sz w:val="30"/>
          <w:szCs w:val="30"/>
        </w:rPr>
        <w:t>本院认为，被告单位深圳龙岗布吉裕兴实业有限公司、直接责任人员被告人朱某，为谋取不正当利益，向国家工作人员行贿共计港币</w:t>
      </w:r>
      <w:r>
        <w:rPr>
          <w:rFonts w:hint="eastAsia"/>
          <w:sz w:val="30"/>
          <w:szCs w:val="30"/>
        </w:rPr>
        <w:t>30</w:t>
      </w:r>
      <w:r>
        <w:rPr>
          <w:rFonts w:hint="eastAsia"/>
          <w:sz w:val="30"/>
          <w:szCs w:val="30"/>
        </w:rPr>
        <w:t>万元，其行为已构成单位行贿罪。公诉机关指控的犯罪事实清楚，证据确实、充分，指控罪名成立。被告人朱某在被追诉前主动交待行贿行为，并当庭认罪，本院依法予以从轻处罚，同时认为被告人朱某犯罪情节较轻，有悔罪表现，宣告缓刑对所居住社区没有重大不良影响，决定对其适用缓刑。综合本案行贿数额、行贿对象、危害后果等事实情节及公诉机关的量刑建议，依据《中华人民共和国刑法》第三百九十三条、第三百九十条第二款、第七十二条第一款、第七十三条第二、三款之规定，判决如下：</w:t>
      </w:r>
    </w:p>
    <w:p w:rsidR="005A21C6" w:rsidRDefault="005A21C6">
      <w:pPr>
        <w:spacing w:line="500" w:lineRule="atLeast"/>
        <w:ind w:firstLine="600"/>
        <w:divId w:val="364604741"/>
        <w:rPr>
          <w:rFonts w:hint="eastAsia"/>
          <w:sz w:val="30"/>
          <w:szCs w:val="30"/>
        </w:rPr>
      </w:pPr>
      <w:r>
        <w:rPr>
          <w:rFonts w:hint="eastAsia"/>
          <w:sz w:val="30"/>
          <w:szCs w:val="30"/>
        </w:rPr>
        <w:t>一、被告单位深圳龙岗布吉裕兴实业有限公司犯单位行贿罪，判处罚金人民币二十万元。</w:t>
      </w:r>
    </w:p>
    <w:p w:rsidR="005A21C6" w:rsidRDefault="005A21C6">
      <w:pPr>
        <w:spacing w:line="500" w:lineRule="atLeast"/>
        <w:ind w:firstLine="600"/>
        <w:divId w:val="237787933"/>
        <w:rPr>
          <w:rFonts w:hint="eastAsia"/>
          <w:sz w:val="30"/>
          <w:szCs w:val="30"/>
        </w:rPr>
      </w:pPr>
      <w:r>
        <w:rPr>
          <w:rFonts w:hint="eastAsia"/>
          <w:sz w:val="30"/>
          <w:szCs w:val="30"/>
        </w:rPr>
        <w:t>（罚金自本判决发生法律效力之日起十日内向本院缴纳，上缴国库。）</w:t>
      </w:r>
    </w:p>
    <w:p w:rsidR="005A21C6" w:rsidRDefault="005A21C6">
      <w:pPr>
        <w:spacing w:line="500" w:lineRule="atLeast"/>
        <w:ind w:firstLine="600"/>
        <w:divId w:val="330524115"/>
        <w:rPr>
          <w:rFonts w:hint="eastAsia"/>
          <w:sz w:val="30"/>
          <w:szCs w:val="30"/>
        </w:rPr>
      </w:pPr>
      <w:r>
        <w:rPr>
          <w:rFonts w:hint="eastAsia"/>
          <w:sz w:val="30"/>
          <w:szCs w:val="30"/>
        </w:rPr>
        <w:t>二、被告人朱某犯单位行贿罪，判处有期徒刑一年，缓刑二年。</w:t>
      </w:r>
    </w:p>
    <w:p w:rsidR="005A21C6" w:rsidRDefault="005A21C6">
      <w:pPr>
        <w:spacing w:line="500" w:lineRule="atLeast"/>
        <w:ind w:firstLine="600"/>
        <w:divId w:val="2046833497"/>
        <w:rPr>
          <w:rFonts w:hint="eastAsia"/>
          <w:sz w:val="30"/>
          <w:szCs w:val="30"/>
        </w:rPr>
      </w:pPr>
      <w:r>
        <w:rPr>
          <w:rFonts w:hint="eastAsia"/>
          <w:sz w:val="30"/>
          <w:szCs w:val="30"/>
        </w:rPr>
        <w:t>（缓刑考验期限，从判决确定之日起计算。）</w:t>
      </w:r>
    </w:p>
    <w:p w:rsidR="005A21C6" w:rsidRDefault="005A21C6">
      <w:pPr>
        <w:spacing w:line="500" w:lineRule="atLeast"/>
        <w:ind w:firstLine="600"/>
        <w:divId w:val="82924635"/>
        <w:rPr>
          <w:rFonts w:hint="eastAsia"/>
          <w:sz w:val="30"/>
          <w:szCs w:val="30"/>
        </w:rPr>
      </w:pPr>
      <w:r>
        <w:rPr>
          <w:rFonts w:hint="eastAsia"/>
          <w:sz w:val="30"/>
          <w:szCs w:val="30"/>
        </w:rPr>
        <w:t>如不服本判决，可在接到判决书的第二日起十日内，通过本院或者直接向广东省深圳市中级人民法院提出上诉。书面上诉的，应提交上诉状正本一份，副本二份。</w:t>
      </w:r>
    </w:p>
    <w:p w:rsidR="005A21C6" w:rsidRDefault="005A21C6">
      <w:pPr>
        <w:spacing w:line="500" w:lineRule="atLeast"/>
        <w:jc w:val="right"/>
        <w:divId w:val="1269580100"/>
        <w:rPr>
          <w:rFonts w:hint="eastAsia"/>
          <w:sz w:val="30"/>
          <w:szCs w:val="30"/>
        </w:rPr>
      </w:pPr>
      <w:r>
        <w:rPr>
          <w:rFonts w:hint="eastAsia"/>
          <w:sz w:val="30"/>
          <w:szCs w:val="30"/>
        </w:rPr>
        <w:t>审　判　长　　孙婷婷</w:t>
      </w:r>
    </w:p>
    <w:p w:rsidR="005A21C6" w:rsidRDefault="005A21C6">
      <w:pPr>
        <w:spacing w:line="500" w:lineRule="atLeast"/>
        <w:jc w:val="right"/>
        <w:divId w:val="1856379866"/>
        <w:rPr>
          <w:rFonts w:hint="eastAsia"/>
          <w:sz w:val="30"/>
          <w:szCs w:val="30"/>
        </w:rPr>
      </w:pPr>
      <w:r>
        <w:rPr>
          <w:rFonts w:hint="eastAsia"/>
          <w:sz w:val="30"/>
          <w:szCs w:val="30"/>
        </w:rPr>
        <w:t>人民陪审员　　王　欣</w:t>
      </w:r>
    </w:p>
    <w:p w:rsidR="005A21C6" w:rsidRDefault="005A21C6">
      <w:pPr>
        <w:spacing w:line="500" w:lineRule="atLeast"/>
        <w:jc w:val="right"/>
        <w:divId w:val="468402550"/>
        <w:rPr>
          <w:rFonts w:hint="eastAsia"/>
          <w:sz w:val="30"/>
          <w:szCs w:val="30"/>
        </w:rPr>
      </w:pPr>
      <w:r>
        <w:rPr>
          <w:rFonts w:hint="eastAsia"/>
          <w:sz w:val="30"/>
          <w:szCs w:val="30"/>
        </w:rPr>
        <w:t>人民陪审员　　黄日丽</w:t>
      </w:r>
    </w:p>
    <w:p w:rsidR="005A21C6" w:rsidRDefault="005A21C6">
      <w:pPr>
        <w:spacing w:line="500" w:lineRule="atLeast"/>
        <w:jc w:val="right"/>
        <w:divId w:val="1515152546"/>
        <w:rPr>
          <w:rFonts w:hint="eastAsia"/>
          <w:sz w:val="30"/>
          <w:szCs w:val="30"/>
        </w:rPr>
      </w:pPr>
      <w:r>
        <w:rPr>
          <w:rFonts w:hint="eastAsia"/>
          <w:sz w:val="30"/>
          <w:szCs w:val="30"/>
        </w:rPr>
        <w:t>二〇一五年十月十五日</w:t>
      </w:r>
    </w:p>
    <w:p w:rsidR="005A21C6" w:rsidRDefault="005A21C6">
      <w:pPr>
        <w:spacing w:line="500" w:lineRule="atLeast"/>
        <w:jc w:val="right"/>
        <w:divId w:val="1198156739"/>
        <w:rPr>
          <w:rFonts w:hint="eastAsia"/>
          <w:sz w:val="30"/>
          <w:szCs w:val="30"/>
        </w:rPr>
      </w:pPr>
      <w:r>
        <w:rPr>
          <w:rFonts w:hint="eastAsia"/>
          <w:sz w:val="30"/>
          <w:szCs w:val="30"/>
        </w:rPr>
        <w:t>书　记　员　　石银芳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21C6" w:rsidRDefault="005A21C6" w:rsidP="005A21C6">
      <w:pPr>
        <w:rPr>
          <w:rFonts w:hint="eastAsia"/>
        </w:rPr>
      </w:pPr>
      <w:r>
        <w:separator/>
      </w:r>
    </w:p>
  </w:endnote>
  <w:endnote w:type="continuationSeparator" w:id="0">
    <w:p w:rsidR="005A21C6" w:rsidRDefault="005A21C6" w:rsidP="005A21C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21C6" w:rsidRDefault="005A21C6" w:rsidP="005A21C6">
      <w:pPr>
        <w:rPr>
          <w:rFonts w:hint="eastAsia"/>
        </w:rPr>
      </w:pPr>
      <w:r>
        <w:separator/>
      </w:r>
    </w:p>
  </w:footnote>
  <w:footnote w:type="continuationSeparator" w:id="0">
    <w:p w:rsidR="005A21C6" w:rsidRDefault="005A21C6" w:rsidP="005A21C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A21C6"/>
    <w:rsid w:val="005A21C6"/>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A21C6"/>
    <w:pPr>
      <w:tabs>
        <w:tab w:val="center" w:pos="4153"/>
        <w:tab w:val="right" w:pos="8306"/>
      </w:tabs>
      <w:snapToGrid w:val="0"/>
      <w:jc w:val="center"/>
    </w:pPr>
    <w:rPr>
      <w:sz w:val="18"/>
      <w:szCs w:val="18"/>
    </w:rPr>
  </w:style>
  <w:style w:type="character" w:customStyle="1" w:styleId="a4">
    <w:name w:val="页眉 字符"/>
    <w:basedOn w:val="a0"/>
    <w:link w:val="a3"/>
    <w:uiPriority w:val="99"/>
    <w:rsid w:val="005A21C6"/>
    <w:rPr>
      <w:rFonts w:ascii="宋体" w:eastAsia="宋体" w:hAnsi="宋体" w:cs="宋体"/>
      <w:sz w:val="18"/>
      <w:szCs w:val="18"/>
    </w:rPr>
  </w:style>
  <w:style w:type="paragraph" w:styleId="a5">
    <w:name w:val="footer"/>
    <w:basedOn w:val="a"/>
    <w:link w:val="a6"/>
    <w:uiPriority w:val="99"/>
    <w:unhideWhenUsed/>
    <w:rsid w:val="005A21C6"/>
    <w:pPr>
      <w:tabs>
        <w:tab w:val="center" w:pos="4153"/>
        <w:tab w:val="right" w:pos="8306"/>
      </w:tabs>
      <w:snapToGrid w:val="0"/>
    </w:pPr>
    <w:rPr>
      <w:sz w:val="18"/>
      <w:szCs w:val="18"/>
    </w:rPr>
  </w:style>
  <w:style w:type="character" w:customStyle="1" w:styleId="a6">
    <w:name w:val="页脚 字符"/>
    <w:basedOn w:val="a0"/>
    <w:link w:val="a5"/>
    <w:uiPriority w:val="99"/>
    <w:rsid w:val="005A21C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68167">
      <w:marLeft w:val="0"/>
      <w:marRight w:val="0"/>
      <w:marTop w:val="10"/>
      <w:marBottom w:val="10"/>
      <w:divBdr>
        <w:top w:val="none" w:sz="0" w:space="0" w:color="auto"/>
        <w:left w:val="none" w:sz="0" w:space="0" w:color="auto"/>
        <w:bottom w:val="none" w:sz="0" w:space="0" w:color="auto"/>
        <w:right w:val="none" w:sz="0" w:space="0" w:color="auto"/>
      </w:divBdr>
    </w:div>
    <w:div w:id="82924635">
      <w:marLeft w:val="0"/>
      <w:marRight w:val="0"/>
      <w:marTop w:val="10"/>
      <w:marBottom w:val="10"/>
      <w:divBdr>
        <w:top w:val="none" w:sz="0" w:space="0" w:color="auto"/>
        <w:left w:val="none" w:sz="0" w:space="0" w:color="auto"/>
        <w:bottom w:val="none" w:sz="0" w:space="0" w:color="auto"/>
        <w:right w:val="none" w:sz="0" w:space="0" w:color="auto"/>
      </w:divBdr>
    </w:div>
    <w:div w:id="237787933">
      <w:marLeft w:val="0"/>
      <w:marRight w:val="0"/>
      <w:marTop w:val="10"/>
      <w:marBottom w:val="10"/>
      <w:divBdr>
        <w:top w:val="none" w:sz="0" w:space="0" w:color="auto"/>
        <w:left w:val="none" w:sz="0" w:space="0" w:color="auto"/>
        <w:bottom w:val="none" w:sz="0" w:space="0" w:color="auto"/>
        <w:right w:val="none" w:sz="0" w:space="0" w:color="auto"/>
      </w:divBdr>
    </w:div>
    <w:div w:id="307441506">
      <w:marLeft w:val="0"/>
      <w:marRight w:val="0"/>
      <w:marTop w:val="10"/>
      <w:marBottom w:val="10"/>
      <w:divBdr>
        <w:top w:val="none" w:sz="0" w:space="0" w:color="auto"/>
        <w:left w:val="none" w:sz="0" w:space="0" w:color="auto"/>
        <w:bottom w:val="none" w:sz="0" w:space="0" w:color="auto"/>
        <w:right w:val="none" w:sz="0" w:space="0" w:color="auto"/>
      </w:divBdr>
    </w:div>
    <w:div w:id="330524115">
      <w:marLeft w:val="0"/>
      <w:marRight w:val="0"/>
      <w:marTop w:val="10"/>
      <w:marBottom w:val="10"/>
      <w:divBdr>
        <w:top w:val="none" w:sz="0" w:space="0" w:color="auto"/>
        <w:left w:val="none" w:sz="0" w:space="0" w:color="auto"/>
        <w:bottom w:val="none" w:sz="0" w:space="0" w:color="auto"/>
        <w:right w:val="none" w:sz="0" w:space="0" w:color="auto"/>
      </w:divBdr>
    </w:div>
    <w:div w:id="364604741">
      <w:marLeft w:val="0"/>
      <w:marRight w:val="0"/>
      <w:marTop w:val="10"/>
      <w:marBottom w:val="10"/>
      <w:divBdr>
        <w:top w:val="none" w:sz="0" w:space="0" w:color="auto"/>
        <w:left w:val="none" w:sz="0" w:space="0" w:color="auto"/>
        <w:bottom w:val="none" w:sz="0" w:space="0" w:color="auto"/>
        <w:right w:val="none" w:sz="0" w:space="0" w:color="auto"/>
      </w:divBdr>
    </w:div>
    <w:div w:id="468402550">
      <w:marLeft w:val="0"/>
      <w:marRight w:val="720"/>
      <w:marTop w:val="10"/>
      <w:marBottom w:val="10"/>
      <w:divBdr>
        <w:top w:val="none" w:sz="0" w:space="0" w:color="auto"/>
        <w:left w:val="none" w:sz="0" w:space="0" w:color="auto"/>
        <w:bottom w:val="none" w:sz="0" w:space="0" w:color="auto"/>
        <w:right w:val="none" w:sz="0" w:space="0" w:color="auto"/>
      </w:divBdr>
    </w:div>
    <w:div w:id="627012439">
      <w:marLeft w:val="0"/>
      <w:marRight w:val="0"/>
      <w:marTop w:val="10"/>
      <w:marBottom w:val="10"/>
      <w:divBdr>
        <w:top w:val="none" w:sz="0" w:space="0" w:color="auto"/>
        <w:left w:val="none" w:sz="0" w:space="0" w:color="auto"/>
        <w:bottom w:val="none" w:sz="0" w:space="0" w:color="auto"/>
        <w:right w:val="none" w:sz="0" w:space="0" w:color="auto"/>
      </w:divBdr>
    </w:div>
    <w:div w:id="643780141">
      <w:marLeft w:val="0"/>
      <w:marRight w:val="0"/>
      <w:marTop w:val="10"/>
      <w:marBottom w:val="10"/>
      <w:divBdr>
        <w:top w:val="none" w:sz="0" w:space="0" w:color="auto"/>
        <w:left w:val="none" w:sz="0" w:space="0" w:color="auto"/>
        <w:bottom w:val="none" w:sz="0" w:space="0" w:color="auto"/>
        <w:right w:val="none" w:sz="0" w:space="0" w:color="auto"/>
      </w:divBdr>
    </w:div>
    <w:div w:id="723868713">
      <w:marLeft w:val="0"/>
      <w:marRight w:val="0"/>
      <w:marTop w:val="10"/>
      <w:marBottom w:val="10"/>
      <w:divBdr>
        <w:top w:val="none" w:sz="0" w:space="0" w:color="auto"/>
        <w:left w:val="none" w:sz="0" w:space="0" w:color="auto"/>
        <w:bottom w:val="none" w:sz="0" w:space="0" w:color="auto"/>
        <w:right w:val="none" w:sz="0" w:space="0" w:color="auto"/>
      </w:divBdr>
    </w:div>
    <w:div w:id="741676845">
      <w:marLeft w:val="0"/>
      <w:marRight w:val="0"/>
      <w:marTop w:val="10"/>
      <w:marBottom w:val="10"/>
      <w:divBdr>
        <w:top w:val="none" w:sz="0" w:space="0" w:color="auto"/>
        <w:left w:val="none" w:sz="0" w:space="0" w:color="auto"/>
        <w:bottom w:val="none" w:sz="0" w:space="0" w:color="auto"/>
        <w:right w:val="none" w:sz="0" w:space="0" w:color="auto"/>
      </w:divBdr>
    </w:div>
    <w:div w:id="746073308">
      <w:marLeft w:val="0"/>
      <w:marRight w:val="0"/>
      <w:marTop w:val="10"/>
      <w:marBottom w:val="10"/>
      <w:divBdr>
        <w:top w:val="none" w:sz="0" w:space="0" w:color="auto"/>
        <w:left w:val="none" w:sz="0" w:space="0" w:color="auto"/>
        <w:bottom w:val="none" w:sz="0" w:space="0" w:color="auto"/>
        <w:right w:val="none" w:sz="0" w:space="0" w:color="auto"/>
      </w:divBdr>
    </w:div>
    <w:div w:id="853344614">
      <w:marLeft w:val="0"/>
      <w:marRight w:val="0"/>
      <w:marTop w:val="10"/>
      <w:marBottom w:val="10"/>
      <w:divBdr>
        <w:top w:val="none" w:sz="0" w:space="0" w:color="auto"/>
        <w:left w:val="none" w:sz="0" w:space="0" w:color="auto"/>
        <w:bottom w:val="none" w:sz="0" w:space="0" w:color="auto"/>
        <w:right w:val="none" w:sz="0" w:space="0" w:color="auto"/>
      </w:divBdr>
    </w:div>
    <w:div w:id="920529446">
      <w:marLeft w:val="0"/>
      <w:marRight w:val="0"/>
      <w:marTop w:val="10"/>
      <w:marBottom w:val="10"/>
      <w:divBdr>
        <w:top w:val="none" w:sz="0" w:space="0" w:color="auto"/>
        <w:left w:val="none" w:sz="0" w:space="0" w:color="auto"/>
        <w:bottom w:val="none" w:sz="0" w:space="0" w:color="auto"/>
        <w:right w:val="none" w:sz="0" w:space="0" w:color="auto"/>
      </w:divBdr>
    </w:div>
    <w:div w:id="1095518294">
      <w:marLeft w:val="0"/>
      <w:marRight w:val="0"/>
      <w:marTop w:val="10"/>
      <w:marBottom w:val="10"/>
      <w:divBdr>
        <w:top w:val="none" w:sz="0" w:space="0" w:color="auto"/>
        <w:left w:val="none" w:sz="0" w:space="0" w:color="auto"/>
        <w:bottom w:val="none" w:sz="0" w:space="0" w:color="auto"/>
        <w:right w:val="none" w:sz="0" w:space="0" w:color="auto"/>
      </w:divBdr>
    </w:div>
    <w:div w:id="1130628804">
      <w:marLeft w:val="0"/>
      <w:marRight w:val="0"/>
      <w:marTop w:val="10"/>
      <w:marBottom w:val="10"/>
      <w:divBdr>
        <w:top w:val="none" w:sz="0" w:space="0" w:color="auto"/>
        <w:left w:val="none" w:sz="0" w:space="0" w:color="auto"/>
        <w:bottom w:val="none" w:sz="0" w:space="0" w:color="auto"/>
        <w:right w:val="none" w:sz="0" w:space="0" w:color="auto"/>
      </w:divBdr>
    </w:div>
    <w:div w:id="1198156739">
      <w:marLeft w:val="0"/>
      <w:marRight w:val="720"/>
      <w:marTop w:val="10"/>
      <w:marBottom w:val="10"/>
      <w:divBdr>
        <w:top w:val="none" w:sz="0" w:space="0" w:color="auto"/>
        <w:left w:val="none" w:sz="0" w:space="0" w:color="auto"/>
        <w:bottom w:val="none" w:sz="0" w:space="0" w:color="auto"/>
        <w:right w:val="none" w:sz="0" w:space="0" w:color="auto"/>
      </w:divBdr>
    </w:div>
    <w:div w:id="1269580100">
      <w:marLeft w:val="0"/>
      <w:marRight w:val="720"/>
      <w:marTop w:val="10"/>
      <w:marBottom w:val="10"/>
      <w:divBdr>
        <w:top w:val="none" w:sz="0" w:space="0" w:color="auto"/>
        <w:left w:val="none" w:sz="0" w:space="0" w:color="auto"/>
        <w:bottom w:val="none" w:sz="0" w:space="0" w:color="auto"/>
        <w:right w:val="none" w:sz="0" w:space="0" w:color="auto"/>
      </w:divBdr>
    </w:div>
    <w:div w:id="1515152546">
      <w:marLeft w:val="0"/>
      <w:marRight w:val="720"/>
      <w:marTop w:val="10"/>
      <w:marBottom w:val="10"/>
      <w:divBdr>
        <w:top w:val="none" w:sz="0" w:space="0" w:color="auto"/>
        <w:left w:val="none" w:sz="0" w:space="0" w:color="auto"/>
        <w:bottom w:val="none" w:sz="0" w:space="0" w:color="auto"/>
        <w:right w:val="none" w:sz="0" w:space="0" w:color="auto"/>
      </w:divBdr>
    </w:div>
    <w:div w:id="1591157239">
      <w:marLeft w:val="0"/>
      <w:marRight w:val="0"/>
      <w:marTop w:val="10"/>
      <w:marBottom w:val="10"/>
      <w:divBdr>
        <w:top w:val="none" w:sz="0" w:space="0" w:color="auto"/>
        <w:left w:val="none" w:sz="0" w:space="0" w:color="auto"/>
        <w:bottom w:val="none" w:sz="0" w:space="0" w:color="auto"/>
        <w:right w:val="none" w:sz="0" w:space="0" w:color="auto"/>
      </w:divBdr>
    </w:div>
    <w:div w:id="1856379866">
      <w:marLeft w:val="0"/>
      <w:marRight w:val="720"/>
      <w:marTop w:val="10"/>
      <w:marBottom w:val="10"/>
      <w:divBdr>
        <w:top w:val="none" w:sz="0" w:space="0" w:color="auto"/>
        <w:left w:val="none" w:sz="0" w:space="0" w:color="auto"/>
        <w:bottom w:val="none" w:sz="0" w:space="0" w:color="auto"/>
        <w:right w:val="none" w:sz="0" w:space="0" w:color="auto"/>
      </w:divBdr>
    </w:div>
    <w:div w:id="1971865189">
      <w:marLeft w:val="0"/>
      <w:marRight w:val="0"/>
      <w:marTop w:val="10"/>
      <w:marBottom w:val="10"/>
      <w:divBdr>
        <w:top w:val="none" w:sz="0" w:space="0" w:color="auto"/>
        <w:left w:val="none" w:sz="0" w:space="0" w:color="auto"/>
        <w:bottom w:val="none" w:sz="0" w:space="0" w:color="auto"/>
        <w:right w:val="none" w:sz="0" w:space="0" w:color="auto"/>
      </w:divBdr>
    </w:div>
    <w:div w:id="1990556332">
      <w:marLeft w:val="0"/>
      <w:marRight w:val="0"/>
      <w:marTop w:val="10"/>
      <w:marBottom w:val="10"/>
      <w:divBdr>
        <w:top w:val="none" w:sz="0" w:space="0" w:color="auto"/>
        <w:left w:val="none" w:sz="0" w:space="0" w:color="auto"/>
        <w:bottom w:val="none" w:sz="0" w:space="0" w:color="auto"/>
        <w:right w:val="none" w:sz="0" w:space="0" w:color="auto"/>
      </w:divBdr>
    </w:div>
    <w:div w:id="204683349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278</Words>
  <Characters>1591</Characters>
  <Application>Microsoft Office Word</Application>
  <DocSecurity>0</DocSecurity>
  <Lines>13</Lines>
  <Paragraphs>3</Paragraphs>
  <ScaleCrop>false</ScaleCrop>
  <Company/>
  <LinksUpToDate>false</LinksUpToDate>
  <CharactersWithSpaces>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