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844B2" w14:textId="77777777" w:rsidR="00884001" w:rsidRDefault="00884001">
      <w:pPr>
        <w:spacing w:line="500" w:lineRule="atLeast"/>
        <w:jc w:val="center"/>
        <w:divId w:val="266550167"/>
        <w:rPr>
          <w:rFonts w:ascii="黑体" w:eastAsia="黑体" w:hAnsi="黑体"/>
          <w:sz w:val="36"/>
          <w:szCs w:val="36"/>
        </w:rPr>
      </w:pPr>
      <w:r>
        <w:rPr>
          <w:rFonts w:ascii="黑体" w:eastAsia="黑体" w:hAnsi="黑体" w:hint="eastAsia"/>
          <w:sz w:val="36"/>
          <w:szCs w:val="36"/>
        </w:rPr>
        <w:t>广东省阳春市人民法院</w:t>
      </w:r>
    </w:p>
    <w:p w14:paraId="4A303B41" w14:textId="77777777" w:rsidR="00884001" w:rsidRDefault="00884001">
      <w:pPr>
        <w:spacing w:line="500" w:lineRule="atLeast"/>
        <w:jc w:val="center"/>
        <w:divId w:val="7661224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5DF73E" w14:textId="77777777" w:rsidR="00884001" w:rsidRDefault="00884001">
      <w:pPr>
        <w:spacing w:line="500" w:lineRule="atLeast"/>
        <w:jc w:val="right"/>
        <w:divId w:val="374888204"/>
        <w:rPr>
          <w:rFonts w:hint="eastAsia"/>
          <w:sz w:val="30"/>
          <w:szCs w:val="30"/>
        </w:rPr>
      </w:pPr>
      <w:r>
        <w:rPr>
          <w:rFonts w:hint="eastAsia"/>
          <w:sz w:val="30"/>
          <w:szCs w:val="30"/>
        </w:rPr>
        <w:t>(2018)</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148</w:t>
      </w:r>
      <w:r>
        <w:rPr>
          <w:rFonts w:hint="eastAsia"/>
          <w:sz w:val="30"/>
          <w:szCs w:val="30"/>
        </w:rPr>
        <w:t>号</w:t>
      </w:r>
    </w:p>
    <w:p w14:paraId="2AE2DC11" w14:textId="77777777" w:rsidR="00884001" w:rsidRDefault="00884001">
      <w:pPr>
        <w:spacing w:line="500" w:lineRule="atLeast"/>
        <w:ind w:firstLine="600"/>
        <w:divId w:val="1987197116"/>
        <w:rPr>
          <w:rFonts w:hint="eastAsia"/>
          <w:sz w:val="30"/>
          <w:szCs w:val="30"/>
        </w:rPr>
      </w:pPr>
      <w:r>
        <w:rPr>
          <w:rFonts w:hint="eastAsia"/>
          <w:sz w:val="30"/>
          <w:szCs w:val="30"/>
        </w:rPr>
        <w:t>公诉机关广东省阳春市人民检察院。</w:t>
      </w:r>
    </w:p>
    <w:p w14:paraId="5C214A25" w14:textId="77777777" w:rsidR="00884001" w:rsidRDefault="00884001">
      <w:pPr>
        <w:spacing w:line="500" w:lineRule="atLeast"/>
        <w:ind w:firstLine="600"/>
        <w:divId w:val="564409800"/>
        <w:rPr>
          <w:rFonts w:hint="eastAsia"/>
          <w:sz w:val="30"/>
          <w:szCs w:val="30"/>
        </w:rPr>
      </w:pPr>
      <w:r>
        <w:rPr>
          <w:rFonts w:hint="eastAsia"/>
          <w:sz w:val="30"/>
          <w:szCs w:val="30"/>
        </w:rPr>
        <w:t>被告人温某肇，男，出生于广东省阳春市，汉族，高中文化，原阳春市山坪镇（后并入三甲镇）长沙村委会副主任，户籍地及居住地广东省阳春市。曾因犯贪污罪于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日被判处有期徒刑二年九个月，</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日刑满释放。因本案于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日被阳春市人民检察院取保候审，同年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日经本院决定被阳春市公安局执行逮捕。现羁押在阳春市看守所。</w:t>
      </w:r>
    </w:p>
    <w:p w14:paraId="042662B5" w14:textId="77777777" w:rsidR="00884001" w:rsidRDefault="00884001">
      <w:pPr>
        <w:spacing w:line="500" w:lineRule="atLeast"/>
        <w:ind w:firstLine="600"/>
        <w:divId w:val="1579943699"/>
        <w:rPr>
          <w:rFonts w:hint="eastAsia"/>
          <w:sz w:val="30"/>
          <w:szCs w:val="30"/>
        </w:rPr>
      </w:pPr>
      <w:r>
        <w:rPr>
          <w:rFonts w:hint="eastAsia"/>
          <w:sz w:val="30"/>
          <w:szCs w:val="30"/>
        </w:rPr>
        <w:t>辩护人温绍平，广东世纪华人律师事务所律师。</w:t>
      </w:r>
    </w:p>
    <w:p w14:paraId="4FA5777F" w14:textId="77777777" w:rsidR="00884001" w:rsidRDefault="00884001">
      <w:pPr>
        <w:spacing w:line="500" w:lineRule="atLeast"/>
        <w:ind w:firstLine="600"/>
        <w:divId w:val="1779063290"/>
        <w:rPr>
          <w:rFonts w:hint="eastAsia"/>
          <w:sz w:val="30"/>
          <w:szCs w:val="30"/>
        </w:rPr>
      </w:pPr>
      <w:r>
        <w:rPr>
          <w:rFonts w:hint="eastAsia"/>
          <w:sz w:val="30"/>
          <w:szCs w:val="30"/>
        </w:rPr>
        <w:t>阳春市人民检察院以春检诉刑诉</w:t>
      </w:r>
      <w:r>
        <w:rPr>
          <w:rFonts w:hint="eastAsia"/>
          <w:sz w:val="30"/>
          <w:szCs w:val="30"/>
        </w:rPr>
        <w:t>[2018]111</w:t>
      </w:r>
      <w:r>
        <w:rPr>
          <w:rFonts w:hint="eastAsia"/>
          <w:sz w:val="30"/>
          <w:szCs w:val="30"/>
        </w:rPr>
        <w:t>号起诉书指控被告人温某肇犯贪污罪，于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日向本院提起公诉。本院于同月</w:t>
      </w:r>
      <w:r>
        <w:rPr>
          <w:rFonts w:hint="eastAsia"/>
          <w:sz w:val="30"/>
          <w:szCs w:val="30"/>
        </w:rPr>
        <w:t>25</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日公开开庭审理了本案。阳春市人民检察院指派检察员梁健兵出庭支持公诉，被告人温某肇及其辩护人温绍平到庭参加了诉讼。现已审理终结。</w:t>
      </w:r>
    </w:p>
    <w:p w14:paraId="19E61064" w14:textId="77777777" w:rsidR="00884001" w:rsidRDefault="00884001">
      <w:pPr>
        <w:spacing w:line="500" w:lineRule="atLeast"/>
        <w:ind w:firstLine="600"/>
        <w:divId w:val="2101753523"/>
        <w:rPr>
          <w:rFonts w:hint="eastAsia"/>
          <w:sz w:val="30"/>
          <w:szCs w:val="30"/>
        </w:rPr>
      </w:pPr>
      <w:r>
        <w:rPr>
          <w:rFonts w:hint="eastAsia"/>
          <w:sz w:val="30"/>
          <w:szCs w:val="30"/>
        </w:rPr>
        <w:t>经审理查明：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温某肇任阳春市三甲镇长沙村委会副主任，负责村委会的报账和保管公章，参与协助村委会生态公益林界定工作，负责收集村委会生态公益林损失性补偿资金（以下简称生态林补偿款）申领所需的相关资料以及该款项的领取、发放等。</w:t>
      </w:r>
    </w:p>
    <w:p w14:paraId="2A0F8A38" w14:textId="77777777" w:rsidR="00884001" w:rsidRDefault="00884001">
      <w:pPr>
        <w:spacing w:line="500" w:lineRule="atLeast"/>
        <w:ind w:firstLine="600"/>
        <w:divId w:val="289747971"/>
        <w:rPr>
          <w:rFonts w:hint="eastAsia"/>
          <w:sz w:val="30"/>
          <w:szCs w:val="30"/>
        </w:rPr>
      </w:pPr>
      <w:r>
        <w:rPr>
          <w:rFonts w:hint="eastAsia"/>
          <w:sz w:val="30"/>
          <w:szCs w:val="30"/>
        </w:rPr>
        <w:t>2003</w:t>
      </w:r>
      <w:r>
        <w:rPr>
          <w:rFonts w:hint="eastAsia"/>
          <w:sz w:val="30"/>
          <w:szCs w:val="30"/>
        </w:rPr>
        <w:t>年期间，阳春市山坪镇开展生态林界定工作，被界定为生态公益林后，补偿对象每年可以领取生态林补偿款。生态林界定及申领生态林补偿款的具体工作由当地林业站负责，生态林所在地的村委会干部协助林业站完成该项工作。被告人温</w:t>
      </w:r>
      <w:r>
        <w:rPr>
          <w:rFonts w:hint="eastAsia"/>
          <w:sz w:val="30"/>
          <w:szCs w:val="30"/>
        </w:rPr>
        <w:lastRenderedPageBreak/>
        <w:t>某肇为了骗取生态林补偿款，制作了一份虚假的山林承包合同书，编造其父亲温某</w:t>
      </w:r>
      <w:r>
        <w:rPr>
          <w:rFonts w:hint="eastAsia"/>
          <w:sz w:val="30"/>
          <w:szCs w:val="30"/>
        </w:rPr>
        <w:t>1</w:t>
      </w:r>
      <w:r>
        <w:rPr>
          <w:rFonts w:hint="eastAsia"/>
          <w:sz w:val="30"/>
          <w:szCs w:val="30"/>
        </w:rPr>
        <w:t>于</w:t>
      </w:r>
      <w:r>
        <w:rPr>
          <w:rFonts w:hint="eastAsia"/>
          <w:sz w:val="30"/>
          <w:szCs w:val="30"/>
        </w:rPr>
        <w:t>2002</w:t>
      </w:r>
      <w:r>
        <w:rPr>
          <w:rFonts w:hint="eastAsia"/>
          <w:sz w:val="30"/>
          <w:szCs w:val="30"/>
        </w:rPr>
        <w:t>年开始向某坪镇长沙村委会承包了位于山坪镇中坳、尖峰、湴田尾岭的</w:t>
      </w:r>
      <w:r>
        <w:rPr>
          <w:rFonts w:hint="eastAsia"/>
          <w:sz w:val="30"/>
          <w:szCs w:val="30"/>
        </w:rPr>
        <w:t>1500</w:t>
      </w:r>
      <w:r>
        <w:rPr>
          <w:rFonts w:hint="eastAsia"/>
          <w:sz w:val="30"/>
          <w:szCs w:val="30"/>
        </w:rPr>
        <w:t>亩林地。被告人温某肇将该山林承包合同书提交到山坪林业站进行生态林界定申请，山坪林业站将上述</w:t>
      </w:r>
      <w:r>
        <w:rPr>
          <w:rFonts w:hint="eastAsia"/>
          <w:sz w:val="30"/>
          <w:szCs w:val="30"/>
        </w:rPr>
        <w:t>1500</w:t>
      </w:r>
      <w:r>
        <w:rPr>
          <w:rFonts w:hint="eastAsia"/>
          <w:sz w:val="30"/>
          <w:szCs w:val="30"/>
        </w:rPr>
        <w:t>亩林地进行生态林界定，并层报上级林业部门审批，最终界定温某</w:t>
      </w:r>
      <w:r>
        <w:rPr>
          <w:rFonts w:hint="eastAsia"/>
          <w:sz w:val="30"/>
          <w:szCs w:val="30"/>
        </w:rPr>
        <w:t>1</w:t>
      </w:r>
      <w:r>
        <w:rPr>
          <w:rFonts w:hint="eastAsia"/>
          <w:sz w:val="30"/>
          <w:szCs w:val="30"/>
        </w:rPr>
        <w:t>名下的生态林面积为</w:t>
      </w:r>
      <w:r>
        <w:rPr>
          <w:rFonts w:hint="eastAsia"/>
          <w:sz w:val="30"/>
          <w:szCs w:val="30"/>
        </w:rPr>
        <w:t>1132.5</w:t>
      </w:r>
      <w:r>
        <w:rPr>
          <w:rFonts w:hint="eastAsia"/>
          <w:sz w:val="30"/>
          <w:szCs w:val="30"/>
        </w:rPr>
        <w:t>亩。被告人温某肇又以温某</w:t>
      </w:r>
      <w:r>
        <w:rPr>
          <w:rFonts w:hint="eastAsia"/>
          <w:sz w:val="30"/>
          <w:szCs w:val="30"/>
        </w:rPr>
        <w:t>1</w:t>
      </w:r>
      <w:r>
        <w:rPr>
          <w:rFonts w:hint="eastAsia"/>
          <w:sz w:val="30"/>
          <w:szCs w:val="30"/>
        </w:rPr>
        <w:t>的名义在农村信用合作社办理了领取生态林补偿款的存折，并向上级林业部门提交申领生态林补偿款的资料。每年的生态林补偿款到账后，被告人温某肇从温某</w:t>
      </w:r>
      <w:r>
        <w:rPr>
          <w:rFonts w:hint="eastAsia"/>
          <w:sz w:val="30"/>
          <w:szCs w:val="30"/>
        </w:rPr>
        <w:t>1</w:t>
      </w:r>
      <w:r>
        <w:rPr>
          <w:rFonts w:hint="eastAsia"/>
          <w:sz w:val="30"/>
          <w:szCs w:val="30"/>
        </w:rPr>
        <w:t>的上述账户中将该年度的生态林补偿款领取出来。从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年，被告人温某肇共骗取生态林补偿款</w:t>
      </w:r>
      <w:r>
        <w:rPr>
          <w:rFonts w:hint="eastAsia"/>
          <w:sz w:val="30"/>
          <w:szCs w:val="30"/>
        </w:rPr>
        <w:t>125276.35</w:t>
      </w:r>
      <w:r>
        <w:rPr>
          <w:rFonts w:hint="eastAsia"/>
          <w:sz w:val="30"/>
          <w:szCs w:val="30"/>
        </w:rPr>
        <w:t>元。</w:t>
      </w:r>
      <w:r>
        <w:rPr>
          <w:rFonts w:hint="eastAsia"/>
          <w:sz w:val="30"/>
          <w:szCs w:val="30"/>
        </w:rPr>
        <w:t>2015</w:t>
      </w:r>
      <w:r>
        <w:rPr>
          <w:rFonts w:hint="eastAsia"/>
          <w:sz w:val="30"/>
          <w:szCs w:val="30"/>
        </w:rPr>
        <w:t>年开始，阳春市生态公益林管理中心停止发放温某</w:t>
      </w:r>
      <w:r>
        <w:rPr>
          <w:rFonts w:hint="eastAsia"/>
          <w:sz w:val="30"/>
          <w:szCs w:val="30"/>
        </w:rPr>
        <w:t>1</w:t>
      </w:r>
      <w:r>
        <w:rPr>
          <w:rFonts w:hint="eastAsia"/>
          <w:sz w:val="30"/>
          <w:szCs w:val="30"/>
        </w:rPr>
        <w:t>名下的生态林补偿款。</w:t>
      </w:r>
    </w:p>
    <w:p w14:paraId="31366188" w14:textId="77777777" w:rsidR="00884001" w:rsidRDefault="00884001">
      <w:pPr>
        <w:spacing w:line="500" w:lineRule="atLeast"/>
        <w:ind w:firstLine="600"/>
        <w:divId w:val="1802337621"/>
        <w:rPr>
          <w:rFonts w:hint="eastAsia"/>
          <w:sz w:val="30"/>
          <w:szCs w:val="30"/>
        </w:rPr>
      </w:pPr>
      <w:r>
        <w:rPr>
          <w:rFonts w:hint="eastAsia"/>
          <w:sz w:val="30"/>
          <w:szCs w:val="30"/>
        </w:rPr>
        <w:t>上述事实，被告人温某肇在开庭审理过程中亦无异议，并有受案登记表，立案决定书，证人苏某</w:t>
      </w:r>
      <w:r>
        <w:rPr>
          <w:rFonts w:hint="eastAsia"/>
          <w:sz w:val="30"/>
          <w:szCs w:val="30"/>
        </w:rPr>
        <w:t>1</w:t>
      </w:r>
      <w:r>
        <w:rPr>
          <w:rFonts w:hint="eastAsia"/>
          <w:sz w:val="30"/>
          <w:szCs w:val="30"/>
        </w:rPr>
        <w:t>、温某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、温某</w:t>
      </w:r>
      <w:r>
        <w:rPr>
          <w:rFonts w:hint="eastAsia"/>
          <w:sz w:val="30"/>
          <w:szCs w:val="30"/>
        </w:rPr>
        <w:t>2</w:t>
      </w:r>
      <w:r>
        <w:rPr>
          <w:rFonts w:hint="eastAsia"/>
          <w:sz w:val="30"/>
          <w:szCs w:val="30"/>
        </w:rPr>
        <w:t>、韦某、黄某</w:t>
      </w:r>
      <w:r>
        <w:rPr>
          <w:rFonts w:hint="eastAsia"/>
          <w:sz w:val="30"/>
          <w:szCs w:val="30"/>
        </w:rPr>
        <w:t>1</w:t>
      </w:r>
      <w:r>
        <w:rPr>
          <w:rFonts w:hint="eastAsia"/>
          <w:sz w:val="30"/>
          <w:szCs w:val="30"/>
        </w:rPr>
        <w:t>、肖某、赖某、黄某</w:t>
      </w:r>
      <w:r>
        <w:rPr>
          <w:rFonts w:hint="eastAsia"/>
          <w:sz w:val="30"/>
          <w:szCs w:val="30"/>
        </w:rPr>
        <w:t>2</w:t>
      </w:r>
      <w:r>
        <w:rPr>
          <w:rFonts w:hint="eastAsia"/>
          <w:sz w:val="30"/>
          <w:szCs w:val="30"/>
        </w:rPr>
        <w:t>、邹某、张某、陈某、吴某</w:t>
      </w:r>
      <w:r>
        <w:rPr>
          <w:rFonts w:hint="eastAsia"/>
          <w:sz w:val="30"/>
          <w:szCs w:val="30"/>
        </w:rPr>
        <w:t>1</w:t>
      </w:r>
      <w:r>
        <w:rPr>
          <w:rFonts w:hint="eastAsia"/>
          <w:sz w:val="30"/>
          <w:szCs w:val="30"/>
        </w:rPr>
        <w:t>、蔡某、吴某</w:t>
      </w:r>
      <w:r>
        <w:rPr>
          <w:rFonts w:hint="eastAsia"/>
          <w:sz w:val="30"/>
          <w:szCs w:val="30"/>
        </w:rPr>
        <w:t>2</w:t>
      </w:r>
      <w:r>
        <w:rPr>
          <w:rFonts w:hint="eastAsia"/>
          <w:sz w:val="30"/>
          <w:szCs w:val="30"/>
        </w:rPr>
        <w:t>、苏某</w:t>
      </w:r>
      <w:r>
        <w:rPr>
          <w:rFonts w:hint="eastAsia"/>
          <w:sz w:val="30"/>
          <w:szCs w:val="30"/>
        </w:rPr>
        <w:t>2</w:t>
      </w:r>
      <w:r>
        <w:rPr>
          <w:rFonts w:hint="eastAsia"/>
          <w:sz w:val="30"/>
          <w:szCs w:val="30"/>
        </w:rPr>
        <w:t>的证言，现场勘验笔录，现场图及照片，辨认笔录，指认照片，林权管理信息台账，广东省财政厅、林业厅文件，广东省生态公益林效益补偿资金管理办法，生态公益林现场界定附图，山地承包合同书，生态公益林现场界定书，省级生态公益林损失性补偿资金分配计划表，银行账户查询清单，取款凭条，扣押清单，暂扣财物收据，任职证明，刑事判决书，到案经过，常住人口个人信息表等证据予以证实，被告人温某肇亦供认在案，足以认定。</w:t>
      </w:r>
    </w:p>
    <w:p w14:paraId="0E487A6C" w14:textId="77777777" w:rsidR="00884001" w:rsidRDefault="00884001">
      <w:pPr>
        <w:spacing w:line="500" w:lineRule="atLeast"/>
        <w:ind w:firstLine="600"/>
        <w:divId w:val="1278175025"/>
        <w:rPr>
          <w:rFonts w:hint="eastAsia"/>
          <w:sz w:val="30"/>
          <w:szCs w:val="30"/>
        </w:rPr>
      </w:pPr>
      <w:r>
        <w:rPr>
          <w:rFonts w:hint="eastAsia"/>
          <w:sz w:val="30"/>
          <w:szCs w:val="30"/>
        </w:rPr>
        <w:t>本院认为：被告人温某肇无视国家法律，身为村委会干部，利用其协助人民政府从事行政管理工作的职务之便，编造虚假的山林承包合同，骗取国家生态公益林补偿款，非法占有公共财物，数额较大，其行为已构成贪污罪，依法应予惩处。公诉机关指控被告人温某肇犯贪污罪的事实清楚，证据确实、充分，罪名成立，予以采纳。鉴于被告人温某肇归案后能如实供述犯罪事实，庭审自愿认罪，依法可以从轻处罚。辩护人提出被告人温某肇如实供述犯罪事实，认罪态度好，请求对其从轻处罚的辩护意见理由成立，予以采纳。根据被告人温某肇犯罪的事实、犯罪的性质、情节和对于社会的危害程度，依照《中华人民共和国刑法》第三百八十二条，第三百八十三条，第五十二条，第五十三条，第六十四条，第六十七条第三款以及《最高人民法院、最高人民检察院关于办理贪污贿赂刑事案件适用法律若干问题的解释》第一条第一款，第十九条第一款之规定，判决如下：</w:t>
      </w:r>
    </w:p>
    <w:p w14:paraId="0D8D36D0" w14:textId="77777777" w:rsidR="00884001" w:rsidRDefault="00884001">
      <w:pPr>
        <w:spacing w:line="500" w:lineRule="atLeast"/>
        <w:ind w:firstLine="600"/>
        <w:divId w:val="1479953684"/>
        <w:rPr>
          <w:rFonts w:hint="eastAsia"/>
          <w:sz w:val="30"/>
          <w:szCs w:val="30"/>
        </w:rPr>
      </w:pPr>
      <w:r>
        <w:rPr>
          <w:rFonts w:hint="eastAsia"/>
          <w:sz w:val="30"/>
          <w:szCs w:val="30"/>
        </w:rPr>
        <w:t>一、被告人温某肇犯贪污罪，判处有期徒刑一年二个月，并处罚金人民币</w:t>
      </w:r>
      <w:r>
        <w:rPr>
          <w:rFonts w:hint="eastAsia"/>
          <w:sz w:val="30"/>
          <w:szCs w:val="30"/>
        </w:rPr>
        <w:t>100000</w:t>
      </w:r>
      <w:r>
        <w:rPr>
          <w:rFonts w:hint="eastAsia"/>
          <w:sz w:val="30"/>
          <w:szCs w:val="30"/>
        </w:rPr>
        <w:t>元。</w:t>
      </w:r>
    </w:p>
    <w:p w14:paraId="7D7C782A" w14:textId="77777777" w:rsidR="00884001" w:rsidRDefault="00884001">
      <w:pPr>
        <w:spacing w:line="500" w:lineRule="atLeast"/>
        <w:ind w:firstLine="600"/>
        <w:divId w:val="3414007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日止；罚金限在本判决发生法律效力后十日内向本院缴纳。</w:t>
      </w:r>
      <w:r>
        <w:rPr>
          <w:rFonts w:hint="eastAsia"/>
          <w:sz w:val="30"/>
          <w:szCs w:val="30"/>
        </w:rPr>
        <w:t>)</w:t>
      </w:r>
    </w:p>
    <w:p w14:paraId="2B1AE2B6" w14:textId="77777777" w:rsidR="00884001" w:rsidRDefault="00884001">
      <w:pPr>
        <w:spacing w:line="500" w:lineRule="atLeast"/>
        <w:ind w:firstLine="600"/>
        <w:divId w:val="2093353570"/>
        <w:rPr>
          <w:rFonts w:hint="eastAsia"/>
          <w:sz w:val="30"/>
          <w:szCs w:val="30"/>
        </w:rPr>
      </w:pPr>
      <w:r>
        <w:rPr>
          <w:rFonts w:hint="eastAsia"/>
          <w:sz w:val="30"/>
          <w:szCs w:val="30"/>
        </w:rPr>
        <w:t>二、在案扣押的涉案款</w:t>
      </w:r>
      <w:r>
        <w:rPr>
          <w:rFonts w:hint="eastAsia"/>
          <w:sz w:val="30"/>
          <w:szCs w:val="30"/>
        </w:rPr>
        <w:t>21000</w:t>
      </w:r>
      <w:r>
        <w:rPr>
          <w:rFonts w:hint="eastAsia"/>
          <w:sz w:val="30"/>
          <w:szCs w:val="30"/>
        </w:rPr>
        <w:t>元予以没收，由扣押机关上缴国库；被告人温某肇尚未退出的涉案款</w:t>
      </w:r>
      <w:r>
        <w:rPr>
          <w:rFonts w:hint="eastAsia"/>
          <w:sz w:val="30"/>
          <w:szCs w:val="30"/>
        </w:rPr>
        <w:t>104276.35</w:t>
      </w:r>
      <w:r>
        <w:rPr>
          <w:rFonts w:hint="eastAsia"/>
          <w:sz w:val="30"/>
          <w:szCs w:val="30"/>
        </w:rPr>
        <w:t>元，依法继续追缴，上缴国库。</w:t>
      </w:r>
    </w:p>
    <w:p w14:paraId="417838E8" w14:textId="77777777" w:rsidR="00884001" w:rsidRDefault="00884001">
      <w:pPr>
        <w:spacing w:line="500" w:lineRule="atLeast"/>
        <w:ind w:firstLine="600"/>
        <w:divId w:val="1573805889"/>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3C2BFF7D" w14:textId="77777777" w:rsidR="00884001" w:rsidRDefault="00884001">
      <w:pPr>
        <w:spacing w:line="500" w:lineRule="atLeast"/>
        <w:jc w:val="right"/>
        <w:divId w:val="1920559981"/>
        <w:rPr>
          <w:rFonts w:hint="eastAsia"/>
          <w:sz w:val="30"/>
          <w:szCs w:val="30"/>
        </w:rPr>
      </w:pPr>
      <w:r>
        <w:rPr>
          <w:rFonts w:hint="eastAsia"/>
          <w:sz w:val="30"/>
          <w:szCs w:val="30"/>
        </w:rPr>
        <w:t>审　判　长　　严家明</w:t>
      </w:r>
    </w:p>
    <w:p w14:paraId="7EF524C4" w14:textId="77777777" w:rsidR="00884001" w:rsidRDefault="00884001">
      <w:pPr>
        <w:spacing w:line="500" w:lineRule="atLeast"/>
        <w:jc w:val="right"/>
        <w:divId w:val="1302807003"/>
        <w:rPr>
          <w:rFonts w:hint="eastAsia"/>
          <w:sz w:val="30"/>
          <w:szCs w:val="30"/>
        </w:rPr>
      </w:pPr>
      <w:r>
        <w:rPr>
          <w:rFonts w:hint="eastAsia"/>
          <w:sz w:val="30"/>
          <w:szCs w:val="30"/>
        </w:rPr>
        <w:t>审　判　员　　林向东</w:t>
      </w:r>
    </w:p>
    <w:p w14:paraId="1D90628D" w14:textId="77777777" w:rsidR="00884001" w:rsidRDefault="00884001">
      <w:pPr>
        <w:spacing w:line="500" w:lineRule="atLeast"/>
        <w:jc w:val="right"/>
        <w:divId w:val="55668318"/>
        <w:rPr>
          <w:rFonts w:hint="eastAsia"/>
          <w:sz w:val="30"/>
          <w:szCs w:val="30"/>
        </w:rPr>
      </w:pPr>
      <w:r>
        <w:rPr>
          <w:rFonts w:hint="eastAsia"/>
          <w:sz w:val="30"/>
          <w:szCs w:val="30"/>
        </w:rPr>
        <w:t>人民陪审员　　李文婷</w:t>
      </w:r>
    </w:p>
    <w:p w14:paraId="47216BB3" w14:textId="77777777" w:rsidR="00884001" w:rsidRDefault="00884001">
      <w:pPr>
        <w:spacing w:line="500" w:lineRule="atLeast"/>
        <w:jc w:val="right"/>
        <w:divId w:val="784076756"/>
        <w:rPr>
          <w:rFonts w:hint="eastAsia"/>
          <w:sz w:val="30"/>
          <w:szCs w:val="30"/>
        </w:rPr>
      </w:pPr>
      <w:r>
        <w:rPr>
          <w:rFonts w:hint="eastAsia"/>
          <w:sz w:val="30"/>
          <w:szCs w:val="30"/>
        </w:rPr>
        <w:t>二〇一八年五月三十日</w:t>
      </w:r>
    </w:p>
    <w:p w14:paraId="682D9FDF" w14:textId="77777777" w:rsidR="00884001" w:rsidRDefault="00884001">
      <w:pPr>
        <w:spacing w:line="500" w:lineRule="atLeast"/>
        <w:jc w:val="right"/>
        <w:divId w:val="944189229"/>
        <w:rPr>
          <w:rFonts w:hint="eastAsia"/>
          <w:sz w:val="30"/>
          <w:szCs w:val="30"/>
        </w:rPr>
      </w:pPr>
      <w:r>
        <w:rPr>
          <w:rFonts w:hint="eastAsia"/>
          <w:sz w:val="30"/>
          <w:szCs w:val="30"/>
        </w:rPr>
        <w:t>书　记　员　　陈嘉怡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E40F" w14:textId="77777777" w:rsidR="00884001" w:rsidRDefault="00884001" w:rsidP="00884001">
      <w:pPr>
        <w:rPr>
          <w:rFonts w:hint="eastAsia"/>
        </w:rPr>
      </w:pPr>
      <w:r>
        <w:separator/>
      </w:r>
    </w:p>
  </w:endnote>
  <w:endnote w:type="continuationSeparator" w:id="0">
    <w:p w14:paraId="52658E6E" w14:textId="77777777" w:rsidR="00884001" w:rsidRDefault="00884001" w:rsidP="008840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B4FC" w14:textId="77777777" w:rsidR="00884001" w:rsidRDefault="00884001" w:rsidP="00884001">
      <w:pPr>
        <w:rPr>
          <w:rFonts w:hint="eastAsia"/>
        </w:rPr>
      </w:pPr>
      <w:r>
        <w:separator/>
      </w:r>
    </w:p>
  </w:footnote>
  <w:footnote w:type="continuationSeparator" w:id="0">
    <w:p w14:paraId="254A708A" w14:textId="77777777" w:rsidR="00884001" w:rsidRDefault="00884001" w:rsidP="008840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4001"/>
    <w:rsid w:val="007235DD"/>
    <w:rsid w:val="00884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0849F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4001"/>
    <w:pPr>
      <w:tabs>
        <w:tab w:val="center" w:pos="4153"/>
        <w:tab w:val="right" w:pos="8306"/>
      </w:tabs>
      <w:snapToGrid w:val="0"/>
      <w:jc w:val="center"/>
    </w:pPr>
    <w:rPr>
      <w:sz w:val="18"/>
      <w:szCs w:val="18"/>
    </w:rPr>
  </w:style>
  <w:style w:type="character" w:customStyle="1" w:styleId="a4">
    <w:name w:val="页眉 字符"/>
    <w:basedOn w:val="a0"/>
    <w:link w:val="a3"/>
    <w:uiPriority w:val="99"/>
    <w:rsid w:val="00884001"/>
    <w:rPr>
      <w:rFonts w:ascii="宋体" w:eastAsia="宋体" w:hAnsi="宋体" w:cs="宋体"/>
      <w:sz w:val="18"/>
      <w:szCs w:val="18"/>
    </w:rPr>
  </w:style>
  <w:style w:type="paragraph" w:styleId="a5">
    <w:name w:val="footer"/>
    <w:basedOn w:val="a"/>
    <w:link w:val="a6"/>
    <w:uiPriority w:val="99"/>
    <w:unhideWhenUsed/>
    <w:rsid w:val="00884001"/>
    <w:pPr>
      <w:tabs>
        <w:tab w:val="center" w:pos="4153"/>
        <w:tab w:val="right" w:pos="8306"/>
      </w:tabs>
      <w:snapToGrid w:val="0"/>
    </w:pPr>
    <w:rPr>
      <w:sz w:val="18"/>
      <w:szCs w:val="18"/>
    </w:rPr>
  </w:style>
  <w:style w:type="character" w:customStyle="1" w:styleId="a6">
    <w:name w:val="页脚 字符"/>
    <w:basedOn w:val="a0"/>
    <w:link w:val="a5"/>
    <w:uiPriority w:val="99"/>
    <w:rsid w:val="008840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8318">
      <w:marLeft w:val="0"/>
      <w:marRight w:val="720"/>
      <w:marTop w:val="10"/>
      <w:marBottom w:val="10"/>
      <w:divBdr>
        <w:top w:val="none" w:sz="0" w:space="0" w:color="auto"/>
        <w:left w:val="none" w:sz="0" w:space="0" w:color="auto"/>
        <w:bottom w:val="none" w:sz="0" w:space="0" w:color="auto"/>
        <w:right w:val="none" w:sz="0" w:space="0" w:color="auto"/>
      </w:divBdr>
    </w:div>
    <w:div w:id="266550167">
      <w:marLeft w:val="0"/>
      <w:marRight w:val="0"/>
      <w:marTop w:val="10"/>
      <w:marBottom w:val="10"/>
      <w:divBdr>
        <w:top w:val="none" w:sz="0" w:space="0" w:color="auto"/>
        <w:left w:val="none" w:sz="0" w:space="0" w:color="auto"/>
        <w:bottom w:val="none" w:sz="0" w:space="0" w:color="auto"/>
        <w:right w:val="none" w:sz="0" w:space="0" w:color="auto"/>
      </w:divBdr>
    </w:div>
    <w:div w:id="289747971">
      <w:marLeft w:val="0"/>
      <w:marRight w:val="0"/>
      <w:marTop w:val="10"/>
      <w:marBottom w:val="10"/>
      <w:divBdr>
        <w:top w:val="none" w:sz="0" w:space="0" w:color="auto"/>
        <w:left w:val="none" w:sz="0" w:space="0" w:color="auto"/>
        <w:bottom w:val="none" w:sz="0" w:space="0" w:color="auto"/>
        <w:right w:val="none" w:sz="0" w:space="0" w:color="auto"/>
      </w:divBdr>
    </w:div>
    <w:div w:id="341400742">
      <w:marLeft w:val="0"/>
      <w:marRight w:val="0"/>
      <w:marTop w:val="10"/>
      <w:marBottom w:val="10"/>
      <w:divBdr>
        <w:top w:val="none" w:sz="0" w:space="0" w:color="auto"/>
        <w:left w:val="none" w:sz="0" w:space="0" w:color="auto"/>
        <w:bottom w:val="none" w:sz="0" w:space="0" w:color="auto"/>
        <w:right w:val="none" w:sz="0" w:space="0" w:color="auto"/>
      </w:divBdr>
    </w:div>
    <w:div w:id="374888204">
      <w:marLeft w:val="0"/>
      <w:marRight w:val="0"/>
      <w:marTop w:val="10"/>
      <w:marBottom w:val="10"/>
      <w:divBdr>
        <w:top w:val="none" w:sz="0" w:space="0" w:color="auto"/>
        <w:left w:val="none" w:sz="0" w:space="0" w:color="auto"/>
        <w:bottom w:val="none" w:sz="0" w:space="0" w:color="auto"/>
        <w:right w:val="none" w:sz="0" w:space="0" w:color="auto"/>
      </w:divBdr>
    </w:div>
    <w:div w:id="564409800">
      <w:marLeft w:val="0"/>
      <w:marRight w:val="0"/>
      <w:marTop w:val="10"/>
      <w:marBottom w:val="10"/>
      <w:divBdr>
        <w:top w:val="none" w:sz="0" w:space="0" w:color="auto"/>
        <w:left w:val="none" w:sz="0" w:space="0" w:color="auto"/>
        <w:bottom w:val="none" w:sz="0" w:space="0" w:color="auto"/>
        <w:right w:val="none" w:sz="0" w:space="0" w:color="auto"/>
      </w:divBdr>
    </w:div>
    <w:div w:id="766122457">
      <w:marLeft w:val="0"/>
      <w:marRight w:val="0"/>
      <w:marTop w:val="10"/>
      <w:marBottom w:val="10"/>
      <w:divBdr>
        <w:top w:val="none" w:sz="0" w:space="0" w:color="auto"/>
        <w:left w:val="none" w:sz="0" w:space="0" w:color="auto"/>
        <w:bottom w:val="none" w:sz="0" w:space="0" w:color="auto"/>
        <w:right w:val="none" w:sz="0" w:space="0" w:color="auto"/>
      </w:divBdr>
    </w:div>
    <w:div w:id="784076756">
      <w:marLeft w:val="0"/>
      <w:marRight w:val="720"/>
      <w:marTop w:val="10"/>
      <w:marBottom w:val="10"/>
      <w:divBdr>
        <w:top w:val="none" w:sz="0" w:space="0" w:color="auto"/>
        <w:left w:val="none" w:sz="0" w:space="0" w:color="auto"/>
        <w:bottom w:val="none" w:sz="0" w:space="0" w:color="auto"/>
        <w:right w:val="none" w:sz="0" w:space="0" w:color="auto"/>
      </w:divBdr>
    </w:div>
    <w:div w:id="944189229">
      <w:marLeft w:val="0"/>
      <w:marRight w:val="720"/>
      <w:marTop w:val="10"/>
      <w:marBottom w:val="10"/>
      <w:divBdr>
        <w:top w:val="none" w:sz="0" w:space="0" w:color="auto"/>
        <w:left w:val="none" w:sz="0" w:space="0" w:color="auto"/>
        <w:bottom w:val="none" w:sz="0" w:space="0" w:color="auto"/>
        <w:right w:val="none" w:sz="0" w:space="0" w:color="auto"/>
      </w:divBdr>
    </w:div>
    <w:div w:id="1278175025">
      <w:marLeft w:val="0"/>
      <w:marRight w:val="0"/>
      <w:marTop w:val="10"/>
      <w:marBottom w:val="10"/>
      <w:divBdr>
        <w:top w:val="none" w:sz="0" w:space="0" w:color="auto"/>
        <w:left w:val="none" w:sz="0" w:space="0" w:color="auto"/>
        <w:bottom w:val="none" w:sz="0" w:space="0" w:color="auto"/>
        <w:right w:val="none" w:sz="0" w:space="0" w:color="auto"/>
      </w:divBdr>
    </w:div>
    <w:div w:id="1302807003">
      <w:marLeft w:val="0"/>
      <w:marRight w:val="720"/>
      <w:marTop w:val="10"/>
      <w:marBottom w:val="10"/>
      <w:divBdr>
        <w:top w:val="none" w:sz="0" w:space="0" w:color="auto"/>
        <w:left w:val="none" w:sz="0" w:space="0" w:color="auto"/>
        <w:bottom w:val="none" w:sz="0" w:space="0" w:color="auto"/>
        <w:right w:val="none" w:sz="0" w:space="0" w:color="auto"/>
      </w:divBdr>
    </w:div>
    <w:div w:id="1479953684">
      <w:marLeft w:val="0"/>
      <w:marRight w:val="0"/>
      <w:marTop w:val="10"/>
      <w:marBottom w:val="10"/>
      <w:divBdr>
        <w:top w:val="none" w:sz="0" w:space="0" w:color="auto"/>
        <w:left w:val="none" w:sz="0" w:space="0" w:color="auto"/>
        <w:bottom w:val="none" w:sz="0" w:space="0" w:color="auto"/>
        <w:right w:val="none" w:sz="0" w:space="0" w:color="auto"/>
      </w:divBdr>
    </w:div>
    <w:div w:id="1573805889">
      <w:marLeft w:val="0"/>
      <w:marRight w:val="0"/>
      <w:marTop w:val="10"/>
      <w:marBottom w:val="10"/>
      <w:divBdr>
        <w:top w:val="none" w:sz="0" w:space="0" w:color="auto"/>
        <w:left w:val="none" w:sz="0" w:space="0" w:color="auto"/>
        <w:bottom w:val="none" w:sz="0" w:space="0" w:color="auto"/>
        <w:right w:val="none" w:sz="0" w:space="0" w:color="auto"/>
      </w:divBdr>
    </w:div>
    <w:div w:id="1579943699">
      <w:marLeft w:val="0"/>
      <w:marRight w:val="0"/>
      <w:marTop w:val="10"/>
      <w:marBottom w:val="10"/>
      <w:divBdr>
        <w:top w:val="none" w:sz="0" w:space="0" w:color="auto"/>
        <w:left w:val="none" w:sz="0" w:space="0" w:color="auto"/>
        <w:bottom w:val="none" w:sz="0" w:space="0" w:color="auto"/>
        <w:right w:val="none" w:sz="0" w:space="0" w:color="auto"/>
      </w:divBdr>
    </w:div>
    <w:div w:id="1779063290">
      <w:marLeft w:val="0"/>
      <w:marRight w:val="0"/>
      <w:marTop w:val="10"/>
      <w:marBottom w:val="10"/>
      <w:divBdr>
        <w:top w:val="none" w:sz="0" w:space="0" w:color="auto"/>
        <w:left w:val="none" w:sz="0" w:space="0" w:color="auto"/>
        <w:bottom w:val="none" w:sz="0" w:space="0" w:color="auto"/>
        <w:right w:val="none" w:sz="0" w:space="0" w:color="auto"/>
      </w:divBdr>
    </w:div>
    <w:div w:id="1802337621">
      <w:marLeft w:val="0"/>
      <w:marRight w:val="0"/>
      <w:marTop w:val="10"/>
      <w:marBottom w:val="10"/>
      <w:divBdr>
        <w:top w:val="none" w:sz="0" w:space="0" w:color="auto"/>
        <w:left w:val="none" w:sz="0" w:space="0" w:color="auto"/>
        <w:bottom w:val="none" w:sz="0" w:space="0" w:color="auto"/>
        <w:right w:val="none" w:sz="0" w:space="0" w:color="auto"/>
      </w:divBdr>
    </w:div>
    <w:div w:id="1920559981">
      <w:marLeft w:val="0"/>
      <w:marRight w:val="720"/>
      <w:marTop w:val="10"/>
      <w:marBottom w:val="10"/>
      <w:divBdr>
        <w:top w:val="none" w:sz="0" w:space="0" w:color="auto"/>
        <w:left w:val="none" w:sz="0" w:space="0" w:color="auto"/>
        <w:bottom w:val="none" w:sz="0" w:space="0" w:color="auto"/>
        <w:right w:val="none" w:sz="0" w:space="0" w:color="auto"/>
      </w:divBdr>
    </w:div>
    <w:div w:id="1987197116">
      <w:marLeft w:val="0"/>
      <w:marRight w:val="0"/>
      <w:marTop w:val="10"/>
      <w:marBottom w:val="10"/>
      <w:divBdr>
        <w:top w:val="none" w:sz="0" w:space="0" w:color="auto"/>
        <w:left w:val="none" w:sz="0" w:space="0" w:color="auto"/>
        <w:bottom w:val="none" w:sz="0" w:space="0" w:color="auto"/>
        <w:right w:val="none" w:sz="0" w:space="0" w:color="auto"/>
      </w:divBdr>
    </w:div>
    <w:div w:id="2093353570">
      <w:marLeft w:val="0"/>
      <w:marRight w:val="0"/>
      <w:marTop w:val="10"/>
      <w:marBottom w:val="10"/>
      <w:divBdr>
        <w:top w:val="none" w:sz="0" w:space="0" w:color="auto"/>
        <w:left w:val="none" w:sz="0" w:space="0" w:color="auto"/>
        <w:bottom w:val="none" w:sz="0" w:space="0" w:color="auto"/>
        <w:right w:val="none" w:sz="0" w:space="0" w:color="auto"/>
      </w:divBdr>
    </w:div>
    <w:div w:id="21017535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