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3C77" w14:textId="77777777" w:rsidR="00AF2D99" w:rsidRDefault="00AF2D99">
      <w:pPr>
        <w:spacing w:line="500" w:lineRule="atLeast"/>
        <w:jc w:val="center"/>
        <w:divId w:val="1418985541"/>
        <w:rPr>
          <w:rFonts w:ascii="黑体" w:eastAsia="黑体" w:hAnsi="黑体"/>
          <w:sz w:val="36"/>
          <w:szCs w:val="36"/>
        </w:rPr>
      </w:pPr>
      <w:r>
        <w:rPr>
          <w:rFonts w:ascii="黑体" w:eastAsia="黑体" w:hAnsi="黑体" w:hint="eastAsia"/>
          <w:sz w:val="36"/>
          <w:szCs w:val="36"/>
        </w:rPr>
        <w:t>广东省广州市越秀区人民法院</w:t>
      </w:r>
    </w:p>
    <w:p w14:paraId="230698BE" w14:textId="77777777" w:rsidR="00AF2D99" w:rsidRDefault="00AF2D99">
      <w:pPr>
        <w:spacing w:line="500" w:lineRule="atLeast"/>
        <w:jc w:val="center"/>
        <w:divId w:val="15763537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1E8012" w14:textId="77777777" w:rsidR="00AF2D99" w:rsidRDefault="00AF2D99">
      <w:pPr>
        <w:spacing w:line="500" w:lineRule="atLeast"/>
        <w:jc w:val="right"/>
        <w:divId w:val="278293263"/>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1729</w:t>
      </w:r>
      <w:r>
        <w:rPr>
          <w:rFonts w:hint="eastAsia"/>
          <w:sz w:val="30"/>
          <w:szCs w:val="30"/>
        </w:rPr>
        <w:t>号</w:t>
      </w:r>
    </w:p>
    <w:p w14:paraId="60242494" w14:textId="77777777" w:rsidR="00AF2D99" w:rsidRDefault="00AF2D99">
      <w:pPr>
        <w:spacing w:line="500" w:lineRule="atLeast"/>
        <w:ind w:firstLine="600"/>
        <w:divId w:val="1468932189"/>
        <w:rPr>
          <w:rFonts w:hint="eastAsia"/>
          <w:sz w:val="30"/>
          <w:szCs w:val="30"/>
        </w:rPr>
      </w:pPr>
      <w:r>
        <w:rPr>
          <w:rFonts w:hint="eastAsia"/>
          <w:sz w:val="30"/>
          <w:szCs w:val="30"/>
        </w:rPr>
        <w:t>公诉机关广东省广州市越秀区人民检察院。</w:t>
      </w:r>
    </w:p>
    <w:p w14:paraId="659C2D23" w14:textId="77777777" w:rsidR="00AF2D99" w:rsidRDefault="00AF2D99">
      <w:pPr>
        <w:spacing w:line="500" w:lineRule="atLeast"/>
        <w:ind w:firstLine="600"/>
        <w:divId w:val="472525872"/>
        <w:rPr>
          <w:rFonts w:hint="eastAsia"/>
          <w:sz w:val="30"/>
          <w:szCs w:val="30"/>
        </w:rPr>
      </w:pPr>
      <w:r>
        <w:rPr>
          <w:rFonts w:hint="eastAsia"/>
          <w:sz w:val="30"/>
          <w:szCs w:val="30"/>
        </w:rPr>
        <w:t>被告人游建辉，男，</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日出生，汉族，出生地广东省惠东县，文化程度初中，户籍地广东省深圳市南山区。因本案于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w:t>
      </w:r>
      <w:r>
        <w:rPr>
          <w:rFonts w:hint="eastAsia"/>
          <w:sz w:val="30"/>
          <w:szCs w:val="30"/>
        </w:rPr>
        <w:t>,</w:t>
      </w:r>
      <w:r>
        <w:rPr>
          <w:rFonts w:hint="eastAsia"/>
          <w:sz w:val="30"/>
          <w:szCs w:val="30"/>
        </w:rPr>
        <w:t>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日被广州市人民检察院取保候审，同年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日被本院取保候审。</w:t>
      </w:r>
    </w:p>
    <w:p w14:paraId="337C7CB8" w14:textId="77777777" w:rsidR="00AF2D99" w:rsidRDefault="00AF2D99">
      <w:pPr>
        <w:spacing w:line="500" w:lineRule="atLeast"/>
        <w:ind w:firstLine="600"/>
        <w:divId w:val="837697270"/>
        <w:rPr>
          <w:rFonts w:hint="eastAsia"/>
          <w:sz w:val="30"/>
          <w:szCs w:val="30"/>
        </w:rPr>
      </w:pPr>
      <w:r>
        <w:rPr>
          <w:rFonts w:hint="eastAsia"/>
          <w:sz w:val="30"/>
          <w:szCs w:val="30"/>
        </w:rPr>
        <w:t>辩护人郑城、陈谨，北京大成（广州）律师事务所律师。</w:t>
      </w:r>
    </w:p>
    <w:p w14:paraId="49C972FD" w14:textId="77777777" w:rsidR="00AF2D99" w:rsidRDefault="00AF2D99">
      <w:pPr>
        <w:spacing w:line="500" w:lineRule="atLeast"/>
        <w:ind w:firstLine="600"/>
        <w:divId w:val="44912178"/>
        <w:rPr>
          <w:rFonts w:hint="eastAsia"/>
          <w:sz w:val="30"/>
          <w:szCs w:val="30"/>
        </w:rPr>
      </w:pPr>
      <w:r>
        <w:rPr>
          <w:rFonts w:hint="eastAsia"/>
          <w:sz w:val="30"/>
          <w:szCs w:val="30"/>
        </w:rPr>
        <w:t>广东省广州市越秀区人民检察院以越检刑诉</w:t>
      </w:r>
      <w:r>
        <w:rPr>
          <w:rFonts w:hint="eastAsia"/>
          <w:sz w:val="30"/>
          <w:szCs w:val="30"/>
        </w:rPr>
        <w:t>[2015]1572</w:t>
      </w:r>
      <w:r>
        <w:rPr>
          <w:rFonts w:hint="eastAsia"/>
          <w:sz w:val="30"/>
          <w:szCs w:val="30"/>
        </w:rPr>
        <w:t>号起诉书指控被告人游建辉犯行贿罪，于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日向本院提起公诉。本院依法组成合议庭，适用普通程序，公开开庭审理了本案。广州市越秀区人民检察院指派检察员陆芳出庭支持公诉，被告人游建辉及其辩护人郑城到庭参加诉讼。现已审理终结。</w:t>
      </w:r>
    </w:p>
    <w:p w14:paraId="504D2D13" w14:textId="77777777" w:rsidR="00AF2D99" w:rsidRDefault="00AF2D99">
      <w:pPr>
        <w:spacing w:line="500" w:lineRule="atLeast"/>
        <w:ind w:firstLine="600"/>
        <w:divId w:val="2090882060"/>
        <w:rPr>
          <w:rFonts w:hint="eastAsia"/>
          <w:sz w:val="30"/>
          <w:szCs w:val="30"/>
        </w:rPr>
      </w:pPr>
      <w:r>
        <w:rPr>
          <w:rFonts w:hint="eastAsia"/>
          <w:sz w:val="30"/>
          <w:szCs w:val="30"/>
        </w:rPr>
        <w:t>广东省广州市越秀区人民检察院指控，</w:t>
      </w:r>
      <w:r>
        <w:rPr>
          <w:rFonts w:hint="eastAsia"/>
          <w:sz w:val="30"/>
          <w:szCs w:val="30"/>
        </w:rPr>
        <w:t>2007</w:t>
      </w:r>
      <w:r>
        <w:rPr>
          <w:rFonts w:hint="eastAsia"/>
          <w:sz w:val="30"/>
          <w:szCs w:val="30"/>
        </w:rPr>
        <w:t>年间，被告人游建辉在向中国移动通信集团广东有限公司投标过程中，为了顺得取得该公司数据业务内容管理平台供货及技术服务合同项目，请求时任该公司采购管理中心总经理孙某（另案处理）为其提供便利，并先后两次贿送给孙某现金共计人民币</w:t>
      </w:r>
      <w:r>
        <w:rPr>
          <w:rFonts w:hint="eastAsia"/>
          <w:sz w:val="30"/>
          <w:szCs w:val="30"/>
        </w:rPr>
        <w:t>60</w:t>
      </w:r>
      <w:r>
        <w:rPr>
          <w:rFonts w:hint="eastAsia"/>
          <w:sz w:val="30"/>
          <w:szCs w:val="30"/>
        </w:rPr>
        <w:t>万元。</w:t>
      </w:r>
    </w:p>
    <w:p w14:paraId="3BC71196" w14:textId="77777777" w:rsidR="00AF2D99" w:rsidRDefault="00AF2D99">
      <w:pPr>
        <w:spacing w:line="500" w:lineRule="atLeast"/>
        <w:ind w:firstLine="600"/>
        <w:divId w:val="208968951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日，被告人游建辉向广州市人民检察院投案自首。</w:t>
      </w:r>
    </w:p>
    <w:p w14:paraId="5EFA7F9B" w14:textId="77777777" w:rsidR="00AF2D99" w:rsidRDefault="00AF2D99">
      <w:pPr>
        <w:spacing w:line="500" w:lineRule="atLeast"/>
        <w:ind w:firstLine="600"/>
        <w:divId w:val="1110051898"/>
        <w:rPr>
          <w:rFonts w:hint="eastAsia"/>
          <w:sz w:val="30"/>
          <w:szCs w:val="30"/>
        </w:rPr>
      </w:pPr>
      <w:r>
        <w:rPr>
          <w:rFonts w:hint="eastAsia"/>
          <w:sz w:val="30"/>
          <w:szCs w:val="30"/>
        </w:rPr>
        <w:t>公诉机关随案提供了相关的证据。认为被告人游建辉为谋取不正当利益，给予国家工作人员以财物，其行为触犯《中华人民共和国刑法》第三百八十九条第一款的规定，构成行贿罪。鉴于被告人游建辉在被追诉前能主动交待行贿行为，可以减轻处罚。提请本院依法判处。</w:t>
      </w:r>
    </w:p>
    <w:p w14:paraId="4AFE4E86" w14:textId="77777777" w:rsidR="00AF2D99" w:rsidRDefault="00AF2D99">
      <w:pPr>
        <w:spacing w:line="500" w:lineRule="atLeast"/>
        <w:ind w:firstLine="600"/>
        <w:divId w:val="322702292"/>
        <w:rPr>
          <w:rFonts w:hint="eastAsia"/>
          <w:sz w:val="30"/>
          <w:szCs w:val="30"/>
        </w:rPr>
      </w:pPr>
      <w:r>
        <w:rPr>
          <w:rFonts w:hint="eastAsia"/>
          <w:sz w:val="30"/>
          <w:szCs w:val="30"/>
        </w:rPr>
        <w:lastRenderedPageBreak/>
        <w:t>被告人游建辉对公诉机关指控的事实及罪名不持异议。</w:t>
      </w:r>
    </w:p>
    <w:p w14:paraId="19175621" w14:textId="77777777" w:rsidR="00AF2D99" w:rsidRDefault="00AF2D99">
      <w:pPr>
        <w:spacing w:line="500" w:lineRule="atLeast"/>
        <w:ind w:firstLine="600"/>
        <w:divId w:val="1093477535"/>
        <w:rPr>
          <w:rFonts w:hint="eastAsia"/>
          <w:sz w:val="30"/>
          <w:szCs w:val="30"/>
        </w:rPr>
      </w:pPr>
      <w:r>
        <w:rPr>
          <w:rFonts w:hint="eastAsia"/>
          <w:sz w:val="30"/>
          <w:szCs w:val="30"/>
        </w:rPr>
        <w:t>辩护人对公诉机关指控被告人游建辉犯行贿罪的事实及罪名不持异议，希望法庭考虑到被告人游建辉在被追诉前能主动交待行贿行为，且主要是为了单位利益，对被告人游建辉免予刑事处罚或宣告缓刑。</w:t>
      </w:r>
    </w:p>
    <w:p w14:paraId="2F4FF599" w14:textId="77777777" w:rsidR="00AF2D99" w:rsidRDefault="00AF2D99">
      <w:pPr>
        <w:spacing w:line="500" w:lineRule="atLeast"/>
        <w:ind w:firstLine="600"/>
        <w:divId w:val="2097707986"/>
        <w:rPr>
          <w:rFonts w:hint="eastAsia"/>
          <w:sz w:val="30"/>
          <w:szCs w:val="30"/>
        </w:rPr>
      </w:pPr>
      <w:r>
        <w:rPr>
          <w:rFonts w:hint="eastAsia"/>
          <w:sz w:val="30"/>
          <w:szCs w:val="30"/>
        </w:rPr>
        <w:t>经审理查明，</w:t>
      </w:r>
      <w:r>
        <w:rPr>
          <w:rFonts w:hint="eastAsia"/>
          <w:sz w:val="30"/>
          <w:szCs w:val="30"/>
        </w:rPr>
        <w:t>2007</w:t>
      </w:r>
      <w:r>
        <w:rPr>
          <w:rFonts w:hint="eastAsia"/>
          <w:sz w:val="30"/>
          <w:szCs w:val="30"/>
        </w:rPr>
        <w:t>年间，被告人游建辉在其所属广东宇天信通通信技术有限公司向中国移动通信集团广东有限公司投标数据平台业务过程中，为谋取不正当利益，先后两次向为其提供帮助的中国移动通信集团广东有限公司采购管理中心总经理孙某（已判刑）贿送现金共计人民币</w:t>
      </w:r>
      <w:r>
        <w:rPr>
          <w:rFonts w:hint="eastAsia"/>
          <w:sz w:val="30"/>
          <w:szCs w:val="30"/>
        </w:rPr>
        <w:t>60</w:t>
      </w:r>
      <w:r>
        <w:rPr>
          <w:rFonts w:hint="eastAsia"/>
          <w:sz w:val="30"/>
          <w:szCs w:val="30"/>
        </w:rPr>
        <w:t>万元。</w:t>
      </w:r>
    </w:p>
    <w:p w14:paraId="298DBE9B" w14:textId="77777777" w:rsidR="00AF2D99" w:rsidRDefault="00AF2D99">
      <w:pPr>
        <w:spacing w:line="500" w:lineRule="atLeast"/>
        <w:ind w:firstLine="600"/>
        <w:divId w:val="1587688388"/>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日，被告人游建辉向广州市人民检察院主动投案并如实供述自己罪行，广州市人民检察院于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日对游建辉行贿案立案侦查。</w:t>
      </w:r>
    </w:p>
    <w:p w14:paraId="3DD619D9" w14:textId="77777777" w:rsidR="00AF2D99" w:rsidRDefault="00AF2D99">
      <w:pPr>
        <w:spacing w:line="500" w:lineRule="atLeast"/>
        <w:ind w:firstLine="600"/>
        <w:divId w:val="2011180480"/>
        <w:rPr>
          <w:rFonts w:hint="eastAsia"/>
          <w:sz w:val="30"/>
          <w:szCs w:val="30"/>
        </w:rPr>
      </w:pPr>
      <w:r>
        <w:rPr>
          <w:rFonts w:hint="eastAsia"/>
          <w:sz w:val="30"/>
          <w:szCs w:val="30"/>
        </w:rPr>
        <w:t>上述事实，被告人游建辉在开庭审理过程中亦无异议，且有同案人孙某的供述，广东移动通信有限责任公司出具的同案人孙某的任职材料、干部履历表，广东宇天信通通信技术有限公司与中国移动通信集团广东有限公司签订的数据业务内容管理平台项目供货及技术服务合同，浙江宇天科技股份有限公司与广东宇天科技有限公司相关资料，中国移动通信集团广东有限公司的组织机构代码证，广州市人民检察院出具的破案报告，被告人游建辉的常住人口基本信息，被告人游建辉的供述等证据证实，足以认定。</w:t>
      </w:r>
    </w:p>
    <w:p w14:paraId="59AA75FE" w14:textId="77777777" w:rsidR="00AF2D99" w:rsidRDefault="00AF2D99">
      <w:pPr>
        <w:spacing w:line="500" w:lineRule="atLeast"/>
        <w:ind w:firstLine="600"/>
        <w:divId w:val="1091122568"/>
        <w:rPr>
          <w:rFonts w:hint="eastAsia"/>
          <w:sz w:val="30"/>
          <w:szCs w:val="30"/>
        </w:rPr>
      </w:pPr>
      <w:r>
        <w:rPr>
          <w:rFonts w:hint="eastAsia"/>
          <w:sz w:val="30"/>
          <w:szCs w:val="30"/>
        </w:rPr>
        <w:t>本院认为，根据查明的事实和证据，被告人游建辉为谋取不正当利益，给予国家工作人员以财物，情节严重，其行为构成行贿罪。公诉机关的指控事实清楚，证据充分，罪名成立，应予支持。被告人游建辉在被追诉前主动交代自己的行贿行为，依法可以减轻处罚。辩护人的相关辩护意见予以支持。依照</w:t>
      </w:r>
      <w:r>
        <w:rPr>
          <w:rFonts w:hint="eastAsia"/>
          <w:sz w:val="30"/>
          <w:szCs w:val="30"/>
        </w:rPr>
        <w:t>1997</w:t>
      </w:r>
      <w:r>
        <w:rPr>
          <w:rFonts w:hint="eastAsia"/>
          <w:sz w:val="30"/>
          <w:szCs w:val="30"/>
        </w:rPr>
        <w:t>年修订的《中华人民共和国刑法》第三百八十九条第一款、第三百九十条、第七十二条、第七十三条第二、三款之规定，判决如下：</w:t>
      </w:r>
    </w:p>
    <w:p w14:paraId="7B7D7B25" w14:textId="77777777" w:rsidR="00AF2D99" w:rsidRDefault="00AF2D99">
      <w:pPr>
        <w:spacing w:line="500" w:lineRule="atLeast"/>
        <w:ind w:firstLine="600"/>
        <w:divId w:val="831798766"/>
        <w:rPr>
          <w:rFonts w:hint="eastAsia"/>
          <w:sz w:val="30"/>
          <w:szCs w:val="30"/>
        </w:rPr>
      </w:pPr>
      <w:r>
        <w:rPr>
          <w:rFonts w:hint="eastAsia"/>
          <w:sz w:val="30"/>
          <w:szCs w:val="30"/>
        </w:rPr>
        <w:t>被告人游建辉犯行贿罪，判处有期徒刑二年，缓刑二年六个月。</w:t>
      </w:r>
    </w:p>
    <w:p w14:paraId="17EA2D89" w14:textId="77777777" w:rsidR="00AF2D99" w:rsidRDefault="00AF2D99">
      <w:pPr>
        <w:spacing w:line="500" w:lineRule="atLeast"/>
        <w:ind w:firstLine="600"/>
        <w:divId w:val="1570840926"/>
        <w:rPr>
          <w:rFonts w:hint="eastAsia"/>
          <w:sz w:val="30"/>
          <w:szCs w:val="30"/>
        </w:rPr>
      </w:pPr>
      <w:r>
        <w:rPr>
          <w:rFonts w:hint="eastAsia"/>
          <w:sz w:val="30"/>
          <w:szCs w:val="30"/>
        </w:rPr>
        <w:t>（缓刑考验期限，从判决确定之日起计算）。</w:t>
      </w:r>
    </w:p>
    <w:p w14:paraId="0DE19440" w14:textId="77777777" w:rsidR="00AF2D99" w:rsidRDefault="00AF2D99">
      <w:pPr>
        <w:spacing w:line="500" w:lineRule="atLeast"/>
        <w:ind w:firstLine="600"/>
        <w:divId w:val="65772812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2010690" w14:textId="77777777" w:rsidR="00AF2D99" w:rsidRDefault="00AF2D99">
      <w:pPr>
        <w:spacing w:line="500" w:lineRule="atLeast"/>
        <w:jc w:val="right"/>
        <w:divId w:val="1403865942"/>
        <w:rPr>
          <w:rFonts w:hint="eastAsia"/>
          <w:sz w:val="30"/>
          <w:szCs w:val="30"/>
        </w:rPr>
      </w:pPr>
      <w:r>
        <w:rPr>
          <w:rFonts w:hint="eastAsia"/>
          <w:sz w:val="30"/>
          <w:szCs w:val="30"/>
        </w:rPr>
        <w:t>审　判　长　　梁国强</w:t>
      </w:r>
    </w:p>
    <w:p w14:paraId="1C657557" w14:textId="77777777" w:rsidR="00AF2D99" w:rsidRDefault="00AF2D99">
      <w:pPr>
        <w:spacing w:line="500" w:lineRule="atLeast"/>
        <w:jc w:val="right"/>
        <w:divId w:val="1124928122"/>
        <w:rPr>
          <w:rFonts w:hint="eastAsia"/>
          <w:sz w:val="30"/>
          <w:szCs w:val="30"/>
        </w:rPr>
      </w:pPr>
      <w:r>
        <w:rPr>
          <w:rFonts w:hint="eastAsia"/>
          <w:sz w:val="30"/>
          <w:szCs w:val="30"/>
        </w:rPr>
        <w:t>人民陪审员　　区美琪</w:t>
      </w:r>
    </w:p>
    <w:p w14:paraId="7B5358D4" w14:textId="77777777" w:rsidR="00AF2D99" w:rsidRDefault="00AF2D99">
      <w:pPr>
        <w:spacing w:line="500" w:lineRule="atLeast"/>
        <w:jc w:val="right"/>
        <w:divId w:val="2108498405"/>
        <w:rPr>
          <w:rFonts w:hint="eastAsia"/>
          <w:sz w:val="30"/>
          <w:szCs w:val="30"/>
        </w:rPr>
      </w:pPr>
      <w:r>
        <w:rPr>
          <w:rFonts w:hint="eastAsia"/>
          <w:sz w:val="30"/>
          <w:szCs w:val="30"/>
        </w:rPr>
        <w:t>人民陪审员　　黄小玲</w:t>
      </w:r>
    </w:p>
    <w:p w14:paraId="4783AF22" w14:textId="77777777" w:rsidR="00AF2D99" w:rsidRDefault="00AF2D99">
      <w:pPr>
        <w:spacing w:line="500" w:lineRule="atLeast"/>
        <w:jc w:val="right"/>
        <w:divId w:val="1359771543"/>
        <w:rPr>
          <w:rFonts w:hint="eastAsia"/>
          <w:sz w:val="30"/>
          <w:szCs w:val="30"/>
        </w:rPr>
      </w:pPr>
      <w:r>
        <w:rPr>
          <w:rFonts w:hint="eastAsia"/>
          <w:sz w:val="30"/>
          <w:szCs w:val="30"/>
        </w:rPr>
        <w:t>二〇一五年十二月二十五日</w:t>
      </w:r>
    </w:p>
    <w:p w14:paraId="21E27768" w14:textId="77777777" w:rsidR="00AF2D99" w:rsidRDefault="00AF2D99">
      <w:pPr>
        <w:spacing w:line="500" w:lineRule="atLeast"/>
        <w:jc w:val="right"/>
        <w:divId w:val="69473258"/>
        <w:rPr>
          <w:rFonts w:hint="eastAsia"/>
          <w:sz w:val="30"/>
          <w:szCs w:val="30"/>
        </w:rPr>
      </w:pPr>
      <w:r>
        <w:rPr>
          <w:rFonts w:hint="eastAsia"/>
          <w:sz w:val="30"/>
          <w:szCs w:val="30"/>
        </w:rPr>
        <w:t>书　记　员　　姚晓萍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4BD9C" w14:textId="77777777" w:rsidR="00AF2D99" w:rsidRDefault="00AF2D99" w:rsidP="00AF2D99">
      <w:pPr>
        <w:rPr>
          <w:rFonts w:hint="eastAsia"/>
        </w:rPr>
      </w:pPr>
      <w:r>
        <w:separator/>
      </w:r>
    </w:p>
  </w:endnote>
  <w:endnote w:type="continuationSeparator" w:id="0">
    <w:p w14:paraId="19DEC39F" w14:textId="77777777" w:rsidR="00AF2D99" w:rsidRDefault="00AF2D99" w:rsidP="00AF2D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73177" w14:textId="77777777" w:rsidR="00AF2D99" w:rsidRDefault="00AF2D99" w:rsidP="00AF2D99">
      <w:pPr>
        <w:rPr>
          <w:rFonts w:hint="eastAsia"/>
        </w:rPr>
      </w:pPr>
      <w:r>
        <w:separator/>
      </w:r>
    </w:p>
  </w:footnote>
  <w:footnote w:type="continuationSeparator" w:id="0">
    <w:p w14:paraId="00DEF6D0" w14:textId="77777777" w:rsidR="00AF2D99" w:rsidRDefault="00AF2D99" w:rsidP="00AF2D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2D99"/>
    <w:rsid w:val="007235DD"/>
    <w:rsid w:val="00AF2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BDA7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2D99"/>
    <w:pPr>
      <w:tabs>
        <w:tab w:val="center" w:pos="4153"/>
        <w:tab w:val="right" w:pos="8306"/>
      </w:tabs>
      <w:snapToGrid w:val="0"/>
      <w:jc w:val="center"/>
    </w:pPr>
    <w:rPr>
      <w:sz w:val="18"/>
      <w:szCs w:val="18"/>
    </w:rPr>
  </w:style>
  <w:style w:type="character" w:customStyle="1" w:styleId="a4">
    <w:name w:val="页眉 字符"/>
    <w:basedOn w:val="a0"/>
    <w:link w:val="a3"/>
    <w:uiPriority w:val="99"/>
    <w:rsid w:val="00AF2D99"/>
    <w:rPr>
      <w:rFonts w:ascii="宋体" w:eastAsia="宋体" w:hAnsi="宋体" w:cs="宋体"/>
      <w:sz w:val="18"/>
      <w:szCs w:val="18"/>
    </w:rPr>
  </w:style>
  <w:style w:type="paragraph" w:styleId="a5">
    <w:name w:val="footer"/>
    <w:basedOn w:val="a"/>
    <w:link w:val="a6"/>
    <w:uiPriority w:val="99"/>
    <w:unhideWhenUsed/>
    <w:rsid w:val="00AF2D99"/>
    <w:pPr>
      <w:tabs>
        <w:tab w:val="center" w:pos="4153"/>
        <w:tab w:val="right" w:pos="8306"/>
      </w:tabs>
      <w:snapToGrid w:val="0"/>
    </w:pPr>
    <w:rPr>
      <w:sz w:val="18"/>
      <w:szCs w:val="18"/>
    </w:rPr>
  </w:style>
  <w:style w:type="character" w:customStyle="1" w:styleId="a6">
    <w:name w:val="页脚 字符"/>
    <w:basedOn w:val="a0"/>
    <w:link w:val="a5"/>
    <w:uiPriority w:val="99"/>
    <w:rsid w:val="00AF2D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178">
      <w:marLeft w:val="0"/>
      <w:marRight w:val="0"/>
      <w:marTop w:val="10"/>
      <w:marBottom w:val="10"/>
      <w:divBdr>
        <w:top w:val="none" w:sz="0" w:space="0" w:color="auto"/>
        <w:left w:val="none" w:sz="0" w:space="0" w:color="auto"/>
        <w:bottom w:val="none" w:sz="0" w:space="0" w:color="auto"/>
        <w:right w:val="none" w:sz="0" w:space="0" w:color="auto"/>
      </w:divBdr>
    </w:div>
    <w:div w:id="69473258">
      <w:marLeft w:val="0"/>
      <w:marRight w:val="720"/>
      <w:marTop w:val="10"/>
      <w:marBottom w:val="10"/>
      <w:divBdr>
        <w:top w:val="none" w:sz="0" w:space="0" w:color="auto"/>
        <w:left w:val="none" w:sz="0" w:space="0" w:color="auto"/>
        <w:bottom w:val="none" w:sz="0" w:space="0" w:color="auto"/>
        <w:right w:val="none" w:sz="0" w:space="0" w:color="auto"/>
      </w:divBdr>
    </w:div>
    <w:div w:id="278293263">
      <w:marLeft w:val="0"/>
      <w:marRight w:val="0"/>
      <w:marTop w:val="10"/>
      <w:marBottom w:val="10"/>
      <w:divBdr>
        <w:top w:val="none" w:sz="0" w:space="0" w:color="auto"/>
        <w:left w:val="none" w:sz="0" w:space="0" w:color="auto"/>
        <w:bottom w:val="none" w:sz="0" w:space="0" w:color="auto"/>
        <w:right w:val="none" w:sz="0" w:space="0" w:color="auto"/>
      </w:divBdr>
    </w:div>
    <w:div w:id="322702292">
      <w:marLeft w:val="0"/>
      <w:marRight w:val="0"/>
      <w:marTop w:val="10"/>
      <w:marBottom w:val="10"/>
      <w:divBdr>
        <w:top w:val="none" w:sz="0" w:space="0" w:color="auto"/>
        <w:left w:val="none" w:sz="0" w:space="0" w:color="auto"/>
        <w:bottom w:val="none" w:sz="0" w:space="0" w:color="auto"/>
        <w:right w:val="none" w:sz="0" w:space="0" w:color="auto"/>
      </w:divBdr>
    </w:div>
    <w:div w:id="472525872">
      <w:marLeft w:val="0"/>
      <w:marRight w:val="0"/>
      <w:marTop w:val="10"/>
      <w:marBottom w:val="10"/>
      <w:divBdr>
        <w:top w:val="none" w:sz="0" w:space="0" w:color="auto"/>
        <w:left w:val="none" w:sz="0" w:space="0" w:color="auto"/>
        <w:bottom w:val="none" w:sz="0" w:space="0" w:color="auto"/>
        <w:right w:val="none" w:sz="0" w:space="0" w:color="auto"/>
      </w:divBdr>
    </w:div>
    <w:div w:id="657728123">
      <w:marLeft w:val="0"/>
      <w:marRight w:val="0"/>
      <w:marTop w:val="10"/>
      <w:marBottom w:val="10"/>
      <w:divBdr>
        <w:top w:val="none" w:sz="0" w:space="0" w:color="auto"/>
        <w:left w:val="none" w:sz="0" w:space="0" w:color="auto"/>
        <w:bottom w:val="none" w:sz="0" w:space="0" w:color="auto"/>
        <w:right w:val="none" w:sz="0" w:space="0" w:color="auto"/>
      </w:divBdr>
    </w:div>
    <w:div w:id="831798766">
      <w:marLeft w:val="0"/>
      <w:marRight w:val="0"/>
      <w:marTop w:val="10"/>
      <w:marBottom w:val="10"/>
      <w:divBdr>
        <w:top w:val="none" w:sz="0" w:space="0" w:color="auto"/>
        <w:left w:val="none" w:sz="0" w:space="0" w:color="auto"/>
        <w:bottom w:val="none" w:sz="0" w:space="0" w:color="auto"/>
        <w:right w:val="none" w:sz="0" w:space="0" w:color="auto"/>
      </w:divBdr>
    </w:div>
    <w:div w:id="837697270">
      <w:marLeft w:val="0"/>
      <w:marRight w:val="0"/>
      <w:marTop w:val="10"/>
      <w:marBottom w:val="10"/>
      <w:divBdr>
        <w:top w:val="none" w:sz="0" w:space="0" w:color="auto"/>
        <w:left w:val="none" w:sz="0" w:space="0" w:color="auto"/>
        <w:bottom w:val="none" w:sz="0" w:space="0" w:color="auto"/>
        <w:right w:val="none" w:sz="0" w:space="0" w:color="auto"/>
      </w:divBdr>
    </w:div>
    <w:div w:id="1091122568">
      <w:marLeft w:val="0"/>
      <w:marRight w:val="0"/>
      <w:marTop w:val="10"/>
      <w:marBottom w:val="10"/>
      <w:divBdr>
        <w:top w:val="none" w:sz="0" w:space="0" w:color="auto"/>
        <w:left w:val="none" w:sz="0" w:space="0" w:color="auto"/>
        <w:bottom w:val="none" w:sz="0" w:space="0" w:color="auto"/>
        <w:right w:val="none" w:sz="0" w:space="0" w:color="auto"/>
      </w:divBdr>
    </w:div>
    <w:div w:id="1093477535">
      <w:marLeft w:val="0"/>
      <w:marRight w:val="0"/>
      <w:marTop w:val="10"/>
      <w:marBottom w:val="10"/>
      <w:divBdr>
        <w:top w:val="none" w:sz="0" w:space="0" w:color="auto"/>
        <w:left w:val="none" w:sz="0" w:space="0" w:color="auto"/>
        <w:bottom w:val="none" w:sz="0" w:space="0" w:color="auto"/>
        <w:right w:val="none" w:sz="0" w:space="0" w:color="auto"/>
      </w:divBdr>
    </w:div>
    <w:div w:id="1110051898">
      <w:marLeft w:val="0"/>
      <w:marRight w:val="0"/>
      <w:marTop w:val="10"/>
      <w:marBottom w:val="10"/>
      <w:divBdr>
        <w:top w:val="none" w:sz="0" w:space="0" w:color="auto"/>
        <w:left w:val="none" w:sz="0" w:space="0" w:color="auto"/>
        <w:bottom w:val="none" w:sz="0" w:space="0" w:color="auto"/>
        <w:right w:val="none" w:sz="0" w:space="0" w:color="auto"/>
      </w:divBdr>
    </w:div>
    <w:div w:id="1124928122">
      <w:marLeft w:val="0"/>
      <w:marRight w:val="720"/>
      <w:marTop w:val="10"/>
      <w:marBottom w:val="10"/>
      <w:divBdr>
        <w:top w:val="none" w:sz="0" w:space="0" w:color="auto"/>
        <w:left w:val="none" w:sz="0" w:space="0" w:color="auto"/>
        <w:bottom w:val="none" w:sz="0" w:space="0" w:color="auto"/>
        <w:right w:val="none" w:sz="0" w:space="0" w:color="auto"/>
      </w:divBdr>
    </w:div>
    <w:div w:id="1359771543">
      <w:marLeft w:val="0"/>
      <w:marRight w:val="720"/>
      <w:marTop w:val="10"/>
      <w:marBottom w:val="10"/>
      <w:divBdr>
        <w:top w:val="none" w:sz="0" w:space="0" w:color="auto"/>
        <w:left w:val="none" w:sz="0" w:space="0" w:color="auto"/>
        <w:bottom w:val="none" w:sz="0" w:space="0" w:color="auto"/>
        <w:right w:val="none" w:sz="0" w:space="0" w:color="auto"/>
      </w:divBdr>
    </w:div>
    <w:div w:id="1403865942">
      <w:marLeft w:val="0"/>
      <w:marRight w:val="720"/>
      <w:marTop w:val="10"/>
      <w:marBottom w:val="10"/>
      <w:divBdr>
        <w:top w:val="none" w:sz="0" w:space="0" w:color="auto"/>
        <w:left w:val="none" w:sz="0" w:space="0" w:color="auto"/>
        <w:bottom w:val="none" w:sz="0" w:space="0" w:color="auto"/>
        <w:right w:val="none" w:sz="0" w:space="0" w:color="auto"/>
      </w:divBdr>
    </w:div>
    <w:div w:id="1418985541">
      <w:marLeft w:val="0"/>
      <w:marRight w:val="0"/>
      <w:marTop w:val="10"/>
      <w:marBottom w:val="10"/>
      <w:divBdr>
        <w:top w:val="none" w:sz="0" w:space="0" w:color="auto"/>
        <w:left w:val="none" w:sz="0" w:space="0" w:color="auto"/>
        <w:bottom w:val="none" w:sz="0" w:space="0" w:color="auto"/>
        <w:right w:val="none" w:sz="0" w:space="0" w:color="auto"/>
      </w:divBdr>
    </w:div>
    <w:div w:id="1468932189">
      <w:marLeft w:val="0"/>
      <w:marRight w:val="0"/>
      <w:marTop w:val="10"/>
      <w:marBottom w:val="10"/>
      <w:divBdr>
        <w:top w:val="none" w:sz="0" w:space="0" w:color="auto"/>
        <w:left w:val="none" w:sz="0" w:space="0" w:color="auto"/>
        <w:bottom w:val="none" w:sz="0" w:space="0" w:color="auto"/>
        <w:right w:val="none" w:sz="0" w:space="0" w:color="auto"/>
      </w:divBdr>
    </w:div>
    <w:div w:id="1570840926">
      <w:marLeft w:val="0"/>
      <w:marRight w:val="0"/>
      <w:marTop w:val="10"/>
      <w:marBottom w:val="10"/>
      <w:divBdr>
        <w:top w:val="none" w:sz="0" w:space="0" w:color="auto"/>
        <w:left w:val="none" w:sz="0" w:space="0" w:color="auto"/>
        <w:bottom w:val="none" w:sz="0" w:space="0" w:color="auto"/>
        <w:right w:val="none" w:sz="0" w:space="0" w:color="auto"/>
      </w:divBdr>
    </w:div>
    <w:div w:id="1576353757">
      <w:marLeft w:val="0"/>
      <w:marRight w:val="0"/>
      <w:marTop w:val="10"/>
      <w:marBottom w:val="10"/>
      <w:divBdr>
        <w:top w:val="none" w:sz="0" w:space="0" w:color="auto"/>
        <w:left w:val="none" w:sz="0" w:space="0" w:color="auto"/>
        <w:bottom w:val="none" w:sz="0" w:space="0" w:color="auto"/>
        <w:right w:val="none" w:sz="0" w:space="0" w:color="auto"/>
      </w:divBdr>
    </w:div>
    <w:div w:id="1587688388">
      <w:marLeft w:val="0"/>
      <w:marRight w:val="0"/>
      <w:marTop w:val="10"/>
      <w:marBottom w:val="10"/>
      <w:divBdr>
        <w:top w:val="none" w:sz="0" w:space="0" w:color="auto"/>
        <w:left w:val="none" w:sz="0" w:space="0" w:color="auto"/>
        <w:bottom w:val="none" w:sz="0" w:space="0" w:color="auto"/>
        <w:right w:val="none" w:sz="0" w:space="0" w:color="auto"/>
      </w:divBdr>
    </w:div>
    <w:div w:id="2011180480">
      <w:marLeft w:val="0"/>
      <w:marRight w:val="0"/>
      <w:marTop w:val="10"/>
      <w:marBottom w:val="10"/>
      <w:divBdr>
        <w:top w:val="none" w:sz="0" w:space="0" w:color="auto"/>
        <w:left w:val="none" w:sz="0" w:space="0" w:color="auto"/>
        <w:bottom w:val="none" w:sz="0" w:space="0" w:color="auto"/>
        <w:right w:val="none" w:sz="0" w:space="0" w:color="auto"/>
      </w:divBdr>
    </w:div>
    <w:div w:id="2089689512">
      <w:marLeft w:val="0"/>
      <w:marRight w:val="0"/>
      <w:marTop w:val="10"/>
      <w:marBottom w:val="10"/>
      <w:divBdr>
        <w:top w:val="none" w:sz="0" w:space="0" w:color="auto"/>
        <w:left w:val="none" w:sz="0" w:space="0" w:color="auto"/>
        <w:bottom w:val="none" w:sz="0" w:space="0" w:color="auto"/>
        <w:right w:val="none" w:sz="0" w:space="0" w:color="auto"/>
      </w:divBdr>
    </w:div>
    <w:div w:id="2090882060">
      <w:marLeft w:val="0"/>
      <w:marRight w:val="0"/>
      <w:marTop w:val="10"/>
      <w:marBottom w:val="10"/>
      <w:divBdr>
        <w:top w:val="none" w:sz="0" w:space="0" w:color="auto"/>
        <w:left w:val="none" w:sz="0" w:space="0" w:color="auto"/>
        <w:bottom w:val="none" w:sz="0" w:space="0" w:color="auto"/>
        <w:right w:val="none" w:sz="0" w:space="0" w:color="auto"/>
      </w:divBdr>
    </w:div>
    <w:div w:id="2097707986">
      <w:marLeft w:val="0"/>
      <w:marRight w:val="0"/>
      <w:marTop w:val="10"/>
      <w:marBottom w:val="10"/>
      <w:divBdr>
        <w:top w:val="none" w:sz="0" w:space="0" w:color="auto"/>
        <w:left w:val="none" w:sz="0" w:space="0" w:color="auto"/>
        <w:bottom w:val="none" w:sz="0" w:space="0" w:color="auto"/>
        <w:right w:val="none" w:sz="0" w:space="0" w:color="auto"/>
      </w:divBdr>
    </w:div>
    <w:div w:id="210849840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