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75C5" w:rsidRDefault="007375C5">
      <w:pPr>
        <w:spacing w:line="500" w:lineRule="atLeast"/>
        <w:jc w:val="center"/>
        <w:divId w:val="2043168647"/>
        <w:rPr>
          <w:rFonts w:ascii="黑体" w:eastAsia="黑体" w:hAnsi="黑体"/>
          <w:sz w:val="36"/>
          <w:szCs w:val="36"/>
        </w:rPr>
      </w:pPr>
      <w:r>
        <w:rPr>
          <w:rFonts w:ascii="黑体" w:eastAsia="黑体" w:hAnsi="黑体" w:hint="eastAsia"/>
          <w:sz w:val="36"/>
          <w:szCs w:val="36"/>
        </w:rPr>
        <w:t>广东省广州市越秀区人民法院</w:t>
      </w:r>
    </w:p>
    <w:p w:rsidR="007375C5" w:rsidRDefault="007375C5">
      <w:pPr>
        <w:spacing w:line="500" w:lineRule="atLeast"/>
        <w:jc w:val="center"/>
        <w:divId w:val="5271359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375C5" w:rsidRDefault="007375C5">
      <w:pPr>
        <w:spacing w:line="500" w:lineRule="atLeast"/>
        <w:jc w:val="right"/>
        <w:divId w:val="604264392"/>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319</w:t>
      </w:r>
      <w:r>
        <w:rPr>
          <w:rFonts w:hint="eastAsia"/>
          <w:sz w:val="30"/>
          <w:szCs w:val="30"/>
        </w:rPr>
        <w:t>号</w:t>
      </w:r>
    </w:p>
    <w:p w:rsidR="007375C5" w:rsidRDefault="007375C5">
      <w:pPr>
        <w:spacing w:line="500" w:lineRule="atLeast"/>
        <w:ind w:firstLine="600"/>
        <w:divId w:val="1036154343"/>
        <w:rPr>
          <w:rFonts w:hint="eastAsia"/>
          <w:sz w:val="30"/>
          <w:szCs w:val="30"/>
        </w:rPr>
      </w:pPr>
      <w:r>
        <w:rPr>
          <w:rFonts w:hint="eastAsia"/>
          <w:sz w:val="30"/>
          <w:szCs w:val="30"/>
        </w:rPr>
        <w:t>公诉机关广东省广州市越秀区人民检察院。</w:t>
      </w:r>
    </w:p>
    <w:p w:rsidR="007375C5" w:rsidRDefault="007375C5">
      <w:pPr>
        <w:spacing w:line="500" w:lineRule="atLeast"/>
        <w:ind w:firstLine="600"/>
        <w:divId w:val="1497840277"/>
        <w:rPr>
          <w:rFonts w:hint="eastAsia"/>
          <w:sz w:val="30"/>
          <w:szCs w:val="30"/>
        </w:rPr>
      </w:pPr>
      <w:r>
        <w:rPr>
          <w:rFonts w:hint="eastAsia"/>
          <w:sz w:val="30"/>
          <w:szCs w:val="30"/>
        </w:rPr>
        <w:t>被告人甄某，出生地广东省开平市，原系广州市××建筑工程有限公司××工程处副主任、主任、项目经理，户籍地广州市越秀区。因本案于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日被广东省广州市越秀区人民检察院取保候审，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日被本院决定继续取保候审。</w:t>
      </w:r>
    </w:p>
    <w:p w:rsidR="007375C5" w:rsidRDefault="007375C5">
      <w:pPr>
        <w:spacing w:line="500" w:lineRule="atLeast"/>
        <w:ind w:firstLine="600"/>
        <w:divId w:val="1937589529"/>
        <w:rPr>
          <w:rFonts w:hint="eastAsia"/>
          <w:sz w:val="30"/>
          <w:szCs w:val="30"/>
        </w:rPr>
      </w:pPr>
      <w:r>
        <w:rPr>
          <w:rFonts w:hint="eastAsia"/>
          <w:sz w:val="30"/>
          <w:szCs w:val="30"/>
        </w:rPr>
        <w:t>辩护人潘绍文、陈嘉颖。</w:t>
      </w:r>
    </w:p>
    <w:p w:rsidR="007375C5" w:rsidRDefault="007375C5">
      <w:pPr>
        <w:spacing w:line="500" w:lineRule="atLeast"/>
        <w:ind w:firstLine="600"/>
        <w:divId w:val="1519463310"/>
        <w:rPr>
          <w:rFonts w:hint="eastAsia"/>
          <w:sz w:val="30"/>
          <w:szCs w:val="30"/>
        </w:rPr>
      </w:pPr>
      <w:r>
        <w:rPr>
          <w:rFonts w:hint="eastAsia"/>
          <w:sz w:val="30"/>
          <w:szCs w:val="30"/>
        </w:rPr>
        <w:t>广东省广州市越秀区人民检察院以越检刑诉（</w:t>
      </w:r>
      <w:r>
        <w:rPr>
          <w:rFonts w:hint="eastAsia"/>
          <w:sz w:val="30"/>
          <w:szCs w:val="30"/>
        </w:rPr>
        <w:t>2015</w:t>
      </w:r>
      <w:r>
        <w:rPr>
          <w:rFonts w:hint="eastAsia"/>
          <w:sz w:val="30"/>
          <w:szCs w:val="30"/>
        </w:rPr>
        <w:t>）</w:t>
      </w:r>
      <w:r>
        <w:rPr>
          <w:rFonts w:hint="eastAsia"/>
          <w:sz w:val="30"/>
          <w:szCs w:val="30"/>
        </w:rPr>
        <w:t>96</w:t>
      </w:r>
      <w:r>
        <w:rPr>
          <w:rFonts w:hint="eastAsia"/>
          <w:sz w:val="30"/>
          <w:szCs w:val="30"/>
        </w:rPr>
        <w:t>号起诉书指控被告人甄某犯受贿罪，于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日向本院提起公诉。本院于同月</w:t>
      </w:r>
      <w:r>
        <w:rPr>
          <w:rFonts w:hint="eastAsia"/>
          <w:sz w:val="30"/>
          <w:szCs w:val="30"/>
        </w:rPr>
        <w:t>26</w:t>
      </w:r>
      <w:r>
        <w:rPr>
          <w:rFonts w:hint="eastAsia"/>
          <w:sz w:val="30"/>
          <w:szCs w:val="30"/>
        </w:rPr>
        <w:t>日立案后，依法组成合议庭，公开开庭审理了本案。广东省广州市越秀区人民检察院指派代理检察员周津锋出庭支持公诉。甄某及其辩护人潘绍文、陈嘉颖到庭参加诉讼。现已审理终结。</w:t>
      </w:r>
    </w:p>
    <w:p w:rsidR="007375C5" w:rsidRDefault="007375C5">
      <w:pPr>
        <w:spacing w:line="500" w:lineRule="atLeast"/>
        <w:ind w:firstLine="600"/>
        <w:divId w:val="1979919527"/>
        <w:rPr>
          <w:rFonts w:hint="eastAsia"/>
          <w:sz w:val="30"/>
          <w:szCs w:val="30"/>
        </w:rPr>
      </w:pPr>
      <w:r>
        <w:rPr>
          <w:rFonts w:hint="eastAsia"/>
          <w:sz w:val="30"/>
          <w:szCs w:val="30"/>
        </w:rPr>
        <w:t>广东省广州市越秀区人民检察院指控：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年，被告人甄某在担任广州市</w:t>
      </w:r>
      <w:r>
        <w:rPr>
          <w:rFonts w:hint="eastAsia"/>
          <w:sz w:val="30"/>
          <w:szCs w:val="30"/>
        </w:rPr>
        <w:t>XX</w:t>
      </w:r>
      <w:r>
        <w:rPr>
          <w:rFonts w:hint="eastAsia"/>
          <w:sz w:val="30"/>
          <w:szCs w:val="30"/>
        </w:rPr>
        <w:t>建筑工程有限公司（以下简称市二</w:t>
      </w:r>
      <w:r>
        <w:rPr>
          <w:rFonts w:hint="eastAsia"/>
          <w:sz w:val="30"/>
          <w:szCs w:val="30"/>
        </w:rPr>
        <w:t>X</w:t>
      </w:r>
      <w:r>
        <w:rPr>
          <w:rFonts w:hint="eastAsia"/>
          <w:sz w:val="30"/>
          <w:szCs w:val="30"/>
        </w:rPr>
        <w:t>公司）项目经理期间，利用负责江南新苑住宅建设工程以及广州琶洲会展中心二期工程等项目现场管理和协调的职务便利，先后多次收受相关工程承包商林某丁（另案处理）贿送的现金共计人民币</w:t>
      </w:r>
      <w:r>
        <w:rPr>
          <w:rFonts w:hint="eastAsia"/>
          <w:sz w:val="30"/>
          <w:szCs w:val="30"/>
        </w:rPr>
        <w:t>65</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352222089"/>
        <w:rPr>
          <w:rFonts w:hint="eastAsia"/>
          <w:sz w:val="30"/>
          <w:szCs w:val="30"/>
        </w:rPr>
      </w:pPr>
      <w:r>
        <w:rPr>
          <w:rFonts w:hint="eastAsia"/>
          <w:sz w:val="30"/>
          <w:szCs w:val="30"/>
        </w:rPr>
        <w:t>2007</w:t>
      </w:r>
      <w:r>
        <w:rPr>
          <w:rFonts w:hint="eastAsia"/>
          <w:sz w:val="30"/>
          <w:szCs w:val="30"/>
        </w:rPr>
        <w:t>年春节前，被告人甄某在担任市二</w:t>
      </w:r>
      <w:r>
        <w:rPr>
          <w:rFonts w:hint="eastAsia"/>
          <w:sz w:val="30"/>
          <w:szCs w:val="30"/>
        </w:rPr>
        <w:t>X</w:t>
      </w:r>
      <w:r>
        <w:rPr>
          <w:rFonts w:hint="eastAsia"/>
          <w:sz w:val="30"/>
          <w:szCs w:val="30"/>
        </w:rPr>
        <w:t>公司项目经理期间，利用负责广州琶洲会展中心二期工程项目现场管理和协调的职务便利，收受相关工程项目承包商明某丙（另案处理）贿送的现金人民币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1975671554"/>
        <w:rPr>
          <w:rFonts w:hint="eastAsia"/>
          <w:sz w:val="30"/>
          <w:szCs w:val="30"/>
        </w:rPr>
      </w:pPr>
      <w:r>
        <w:rPr>
          <w:rFonts w:hint="eastAsia"/>
          <w:sz w:val="30"/>
          <w:szCs w:val="30"/>
        </w:rPr>
        <w:lastRenderedPageBreak/>
        <w:t>综上所述，被告人甄某利用职务便利，为他人谋取利益，共收受他人贿送的现金共计人民币</w:t>
      </w:r>
      <w:r>
        <w:rPr>
          <w:rFonts w:hint="eastAsia"/>
          <w:sz w:val="30"/>
          <w:szCs w:val="30"/>
        </w:rPr>
        <w:t>68</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212461457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日，被告人甄某到广东省广州市越秀区人民检察院投案自首，并退缴全部赃款。</w:t>
      </w:r>
    </w:p>
    <w:p w:rsidR="007375C5" w:rsidRDefault="007375C5">
      <w:pPr>
        <w:spacing w:line="500" w:lineRule="atLeast"/>
        <w:ind w:firstLine="600"/>
        <w:divId w:val="1553618237"/>
        <w:rPr>
          <w:rFonts w:hint="eastAsia"/>
          <w:sz w:val="30"/>
          <w:szCs w:val="30"/>
        </w:rPr>
      </w:pPr>
      <w:r>
        <w:rPr>
          <w:rFonts w:hint="eastAsia"/>
          <w:sz w:val="30"/>
          <w:szCs w:val="30"/>
        </w:rPr>
        <w:t>广东省广州市越秀区人民检察院随案移交了企业注册基本资料、企业国有资产变动产权登记表、职工履历表、劳动合同、关于甄某等同志任职的通知等书证，证人明某丙、林某丁等人的证言，被告人甄某的供述和辩解，视听资料等相关证据，并认为甄某身为国家工作人员，无视国家法律，利用职务上的便利，非法收受他人财物，为他人谋取利益，其行为触犯了《中华人民共和国刑法》第三百八十五条第一款，犯罪事实清楚，证据确实充分，应当以受贿罪追究其刑事责任。被告人甄某犯罪以后能自动投案，如实供述自己的罪行，是自首，根据《中华人民共和国刑法》第六十七条第一款之规定，可以从轻或者减轻处罚。提请本院依法判处。</w:t>
      </w:r>
    </w:p>
    <w:p w:rsidR="007375C5" w:rsidRDefault="007375C5">
      <w:pPr>
        <w:spacing w:line="500" w:lineRule="atLeast"/>
        <w:ind w:firstLine="600"/>
        <w:divId w:val="907037577"/>
        <w:rPr>
          <w:rFonts w:hint="eastAsia"/>
          <w:sz w:val="30"/>
          <w:szCs w:val="30"/>
        </w:rPr>
      </w:pPr>
      <w:r>
        <w:rPr>
          <w:rFonts w:hint="eastAsia"/>
          <w:sz w:val="30"/>
          <w:szCs w:val="30"/>
        </w:rPr>
        <w:t>被告人甄某对公诉机关指控的事实与罪名均无异议。</w:t>
      </w:r>
    </w:p>
    <w:p w:rsidR="007375C5" w:rsidRDefault="007375C5">
      <w:pPr>
        <w:spacing w:line="500" w:lineRule="atLeast"/>
        <w:ind w:firstLine="600"/>
        <w:divId w:val="1406345068"/>
        <w:rPr>
          <w:rFonts w:hint="eastAsia"/>
          <w:sz w:val="30"/>
          <w:szCs w:val="30"/>
        </w:rPr>
      </w:pPr>
      <w:r>
        <w:rPr>
          <w:rFonts w:hint="eastAsia"/>
          <w:sz w:val="30"/>
          <w:szCs w:val="30"/>
        </w:rPr>
        <w:t>被告人甄某的辩护人的主要辩护意见是：</w:t>
      </w:r>
      <w:r>
        <w:rPr>
          <w:rFonts w:hint="eastAsia"/>
          <w:sz w:val="30"/>
          <w:szCs w:val="30"/>
        </w:rPr>
        <w:t>1.</w:t>
      </w:r>
      <w:r>
        <w:rPr>
          <w:rFonts w:hint="eastAsia"/>
          <w:sz w:val="30"/>
          <w:szCs w:val="30"/>
        </w:rPr>
        <w:t>甄某与市二</w:t>
      </w:r>
      <w:r>
        <w:rPr>
          <w:rFonts w:hint="eastAsia"/>
          <w:sz w:val="30"/>
          <w:szCs w:val="30"/>
        </w:rPr>
        <w:t>X</w:t>
      </w:r>
      <w:r>
        <w:rPr>
          <w:rFonts w:hint="eastAsia"/>
          <w:sz w:val="30"/>
          <w:szCs w:val="30"/>
        </w:rPr>
        <w:t>公司之间只存在劳动合同关系，且未从事公务管理，不属于国家工作人员。故此，甄某不构成受贿罪，仅构成非国家工作人员受贿罪；</w:t>
      </w:r>
      <w:r>
        <w:rPr>
          <w:rFonts w:hint="eastAsia"/>
          <w:sz w:val="30"/>
          <w:szCs w:val="30"/>
        </w:rPr>
        <w:t>2.</w:t>
      </w:r>
      <w:r>
        <w:rPr>
          <w:rFonts w:hint="eastAsia"/>
          <w:sz w:val="30"/>
          <w:szCs w:val="30"/>
        </w:rPr>
        <w:t>甄某虽然收取了林某乙、明某乙赠送钱款，现有证据缺乏证明该两人向甄某送钱后取得相关利益，故该行为只是逢年过节的礼尚往来；</w:t>
      </w:r>
      <w:r>
        <w:rPr>
          <w:rFonts w:hint="eastAsia"/>
          <w:sz w:val="30"/>
          <w:szCs w:val="30"/>
        </w:rPr>
        <w:t>3.</w:t>
      </w:r>
      <w:r>
        <w:rPr>
          <w:rFonts w:hint="eastAsia"/>
          <w:sz w:val="30"/>
          <w:szCs w:val="30"/>
        </w:rPr>
        <w:t>甄某具有自首情节及案发后积极退赃等从轻、减轻处罚情节。综上，建议法庭对甄某免予刑事处罚。</w:t>
      </w:r>
    </w:p>
    <w:p w:rsidR="007375C5" w:rsidRDefault="007375C5">
      <w:pPr>
        <w:spacing w:line="500" w:lineRule="atLeast"/>
        <w:ind w:firstLine="600"/>
        <w:divId w:val="243686604"/>
        <w:rPr>
          <w:rFonts w:hint="eastAsia"/>
          <w:sz w:val="30"/>
          <w:szCs w:val="30"/>
        </w:rPr>
      </w:pPr>
      <w:r>
        <w:rPr>
          <w:rFonts w:hint="eastAsia"/>
          <w:sz w:val="30"/>
          <w:szCs w:val="30"/>
        </w:rPr>
        <w:t>经审理查明：</w:t>
      </w:r>
    </w:p>
    <w:p w:rsidR="007375C5" w:rsidRDefault="007375C5">
      <w:pPr>
        <w:spacing w:line="500" w:lineRule="atLeast"/>
        <w:ind w:firstLine="600"/>
        <w:divId w:val="540899532"/>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年，被告人甄某在担任国有公司市二</w:t>
      </w:r>
      <w:r>
        <w:rPr>
          <w:rFonts w:hint="eastAsia"/>
          <w:sz w:val="30"/>
          <w:szCs w:val="30"/>
        </w:rPr>
        <w:t>X</w:t>
      </w:r>
      <w:r>
        <w:rPr>
          <w:rFonts w:hint="eastAsia"/>
          <w:sz w:val="30"/>
          <w:szCs w:val="30"/>
        </w:rPr>
        <w:t>公司（后改制为国有控股公司）第十工程处副主任、主任、项目经理期间，利用负责江南新苑住宅建设工程以及广州琶洲会展中心二期工程等项目施工管理等职务便利，先后多次收受相关工程承包商林某乙贿送的共计人民币</w:t>
      </w:r>
      <w:r>
        <w:rPr>
          <w:rFonts w:hint="eastAsia"/>
          <w:sz w:val="30"/>
          <w:szCs w:val="30"/>
        </w:rPr>
        <w:t>65</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1455169370"/>
        <w:rPr>
          <w:rFonts w:hint="eastAsia"/>
          <w:sz w:val="30"/>
          <w:szCs w:val="30"/>
        </w:rPr>
      </w:pPr>
      <w:r>
        <w:rPr>
          <w:rFonts w:hint="eastAsia"/>
          <w:sz w:val="30"/>
          <w:szCs w:val="30"/>
        </w:rPr>
        <w:t>2007</w:t>
      </w:r>
      <w:r>
        <w:rPr>
          <w:rFonts w:hint="eastAsia"/>
          <w:sz w:val="30"/>
          <w:szCs w:val="30"/>
        </w:rPr>
        <w:t>年春节前，被告人甄某在担任市二</w:t>
      </w:r>
      <w:r>
        <w:rPr>
          <w:rFonts w:hint="eastAsia"/>
          <w:sz w:val="30"/>
          <w:szCs w:val="30"/>
        </w:rPr>
        <w:t>X</w:t>
      </w:r>
      <w:r>
        <w:rPr>
          <w:rFonts w:hint="eastAsia"/>
          <w:sz w:val="30"/>
          <w:szCs w:val="30"/>
        </w:rPr>
        <w:t>公司第十工程处主任、项目经理期间，利用负责广州琶洲会展中心二期工程项目施工管理等职务便利，收受相关工程项目承包商明某乙贿送的人民币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116223957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日，被告人甄某向广东省广州市越秀区人民检察院投案，如实供述了自己的上述罪行，并退缴全部违法所得。</w:t>
      </w:r>
    </w:p>
    <w:p w:rsidR="007375C5" w:rsidRDefault="007375C5">
      <w:pPr>
        <w:spacing w:line="500" w:lineRule="atLeast"/>
        <w:ind w:firstLine="600"/>
        <w:divId w:val="1513686905"/>
        <w:rPr>
          <w:rFonts w:hint="eastAsia"/>
          <w:sz w:val="30"/>
          <w:szCs w:val="30"/>
        </w:rPr>
      </w:pPr>
      <w:r>
        <w:rPr>
          <w:rFonts w:hint="eastAsia"/>
          <w:sz w:val="30"/>
          <w:szCs w:val="30"/>
        </w:rPr>
        <w:t>另查明，在</w:t>
      </w:r>
      <w:r>
        <w:rPr>
          <w:rFonts w:hint="eastAsia"/>
          <w:sz w:val="30"/>
          <w:szCs w:val="30"/>
        </w:rPr>
        <w:t>2010</w:t>
      </w:r>
      <w:r>
        <w:rPr>
          <w:rFonts w:hint="eastAsia"/>
          <w:sz w:val="30"/>
          <w:szCs w:val="30"/>
        </w:rPr>
        <w:t>年组建国有控股公司广州建筑股份有限公司过程中，国有公司广州市建筑集团有限公司将其原持有的市二</w:t>
      </w:r>
      <w:r>
        <w:rPr>
          <w:rFonts w:hint="eastAsia"/>
          <w:sz w:val="30"/>
          <w:szCs w:val="30"/>
        </w:rPr>
        <w:t>X</w:t>
      </w:r>
      <w:r>
        <w:rPr>
          <w:rFonts w:hint="eastAsia"/>
          <w:sz w:val="30"/>
          <w:szCs w:val="30"/>
        </w:rPr>
        <w:t>公司</w:t>
      </w:r>
      <w:r>
        <w:rPr>
          <w:rFonts w:hint="eastAsia"/>
          <w:sz w:val="30"/>
          <w:szCs w:val="30"/>
        </w:rPr>
        <w:t>100%</w:t>
      </w:r>
      <w:r>
        <w:rPr>
          <w:rFonts w:hint="eastAsia"/>
          <w:sz w:val="30"/>
          <w:szCs w:val="30"/>
        </w:rPr>
        <w:t>股权，于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日作价投入广州建筑股份有限公司。从作价入股广州建筑股份有限公司之日起至案发，市二</w:t>
      </w:r>
      <w:r>
        <w:rPr>
          <w:rFonts w:hint="eastAsia"/>
          <w:sz w:val="30"/>
          <w:szCs w:val="30"/>
        </w:rPr>
        <w:t>X</w:t>
      </w:r>
      <w:r>
        <w:rPr>
          <w:rFonts w:hint="eastAsia"/>
          <w:sz w:val="30"/>
          <w:szCs w:val="30"/>
        </w:rPr>
        <w:t>公司转为国有控股公司广州建筑股份有限公司的全资子公司。即从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日起，被告人甄某不再具有国家工作人员身份，只属公司工作人员。</w:t>
      </w:r>
    </w:p>
    <w:p w:rsidR="007375C5" w:rsidRDefault="007375C5">
      <w:pPr>
        <w:spacing w:line="500" w:lineRule="atLeast"/>
        <w:ind w:firstLine="600"/>
        <w:divId w:val="886182384"/>
        <w:rPr>
          <w:rFonts w:hint="eastAsia"/>
          <w:sz w:val="30"/>
          <w:szCs w:val="30"/>
        </w:rPr>
      </w:pPr>
      <w:r>
        <w:rPr>
          <w:rFonts w:hint="eastAsia"/>
          <w:sz w:val="30"/>
          <w:szCs w:val="30"/>
        </w:rPr>
        <w:t>综上所述，被告人甄某在市二</w:t>
      </w:r>
      <w:r>
        <w:rPr>
          <w:rFonts w:hint="eastAsia"/>
          <w:sz w:val="30"/>
          <w:szCs w:val="30"/>
        </w:rPr>
        <w:t>X</w:t>
      </w:r>
      <w:r>
        <w:rPr>
          <w:rFonts w:hint="eastAsia"/>
          <w:sz w:val="30"/>
          <w:szCs w:val="30"/>
        </w:rPr>
        <w:t>公司担任第十工程处副主任、主任、项目经理期间，利用职务上的便利，为他人谋取利益，收受他人人民币共计</w:t>
      </w:r>
      <w:r>
        <w:rPr>
          <w:rFonts w:hint="eastAsia"/>
          <w:sz w:val="30"/>
          <w:szCs w:val="30"/>
        </w:rPr>
        <w:t>68</w:t>
      </w:r>
      <w:r>
        <w:rPr>
          <w:rFonts w:hint="eastAsia"/>
          <w:sz w:val="30"/>
          <w:szCs w:val="30"/>
        </w:rPr>
        <w:t>，</w:t>
      </w:r>
      <w:r>
        <w:rPr>
          <w:rFonts w:hint="eastAsia"/>
          <w:sz w:val="30"/>
          <w:szCs w:val="30"/>
        </w:rPr>
        <w:t>000</w:t>
      </w:r>
      <w:r>
        <w:rPr>
          <w:rFonts w:hint="eastAsia"/>
          <w:sz w:val="30"/>
          <w:szCs w:val="30"/>
        </w:rPr>
        <w:t>元（其中甄某作为国家工作人员期间，受贿数额共计人民币</w:t>
      </w:r>
      <w:r>
        <w:rPr>
          <w:rFonts w:hint="eastAsia"/>
          <w:sz w:val="30"/>
          <w:szCs w:val="30"/>
        </w:rPr>
        <w:t>48</w:t>
      </w:r>
      <w:r>
        <w:rPr>
          <w:rFonts w:hint="eastAsia"/>
          <w:sz w:val="30"/>
          <w:szCs w:val="30"/>
        </w:rPr>
        <w:t>，</w:t>
      </w:r>
      <w:r>
        <w:rPr>
          <w:rFonts w:hint="eastAsia"/>
          <w:sz w:val="30"/>
          <w:szCs w:val="30"/>
        </w:rPr>
        <w:t>000</w:t>
      </w:r>
      <w:r>
        <w:rPr>
          <w:rFonts w:hint="eastAsia"/>
          <w:sz w:val="30"/>
          <w:szCs w:val="30"/>
        </w:rPr>
        <w:t>元；作为公司工作人员期间，受贿数额共计人民币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rsidR="007375C5" w:rsidRDefault="007375C5">
      <w:pPr>
        <w:spacing w:line="500" w:lineRule="atLeast"/>
        <w:ind w:firstLine="600"/>
        <w:divId w:val="662120927"/>
        <w:rPr>
          <w:rFonts w:hint="eastAsia"/>
          <w:sz w:val="30"/>
          <w:szCs w:val="30"/>
        </w:rPr>
      </w:pPr>
      <w:r>
        <w:rPr>
          <w:rFonts w:hint="eastAsia"/>
          <w:sz w:val="30"/>
          <w:szCs w:val="30"/>
        </w:rPr>
        <w:t>上述事实，被告人甄某在开庭审理过程中亦无异议，并有甄某在侦查阶段及庭审中的供述，证人林某乙的证言，证人明某乙的证言，广州市建筑集团有限公司、广州建筑股份有限公司、市二</w:t>
      </w:r>
      <w:r>
        <w:rPr>
          <w:rFonts w:hint="eastAsia"/>
          <w:sz w:val="30"/>
          <w:szCs w:val="30"/>
        </w:rPr>
        <w:t>X</w:t>
      </w:r>
      <w:r>
        <w:rPr>
          <w:rFonts w:hint="eastAsia"/>
          <w:sz w:val="30"/>
          <w:szCs w:val="30"/>
        </w:rPr>
        <w:t>公司的企业注册基本资料，广州市建筑集团有限公司、广州建筑股份有限公司的企业国有资产产权登记证，市二</w:t>
      </w:r>
      <w:r>
        <w:rPr>
          <w:rFonts w:hint="eastAsia"/>
          <w:sz w:val="30"/>
          <w:szCs w:val="30"/>
        </w:rPr>
        <w:t>X</w:t>
      </w:r>
      <w:r>
        <w:rPr>
          <w:rFonts w:hint="eastAsia"/>
          <w:sz w:val="30"/>
          <w:szCs w:val="30"/>
        </w:rPr>
        <w:t>公司的企业国有资产变动产权登记表，市二</w:t>
      </w:r>
      <w:r>
        <w:rPr>
          <w:rFonts w:hint="eastAsia"/>
          <w:sz w:val="30"/>
          <w:szCs w:val="30"/>
        </w:rPr>
        <w:t>X</w:t>
      </w:r>
      <w:r>
        <w:rPr>
          <w:rFonts w:hint="eastAsia"/>
          <w:sz w:val="30"/>
          <w:szCs w:val="30"/>
        </w:rPr>
        <w:t>公司出具的甄某的劳动合同、职工履历表、甄某的任免材料，市二</w:t>
      </w:r>
      <w:r>
        <w:rPr>
          <w:rFonts w:hint="eastAsia"/>
          <w:sz w:val="30"/>
          <w:szCs w:val="30"/>
        </w:rPr>
        <w:t>X</w:t>
      </w:r>
      <w:r>
        <w:rPr>
          <w:rFonts w:hint="eastAsia"/>
          <w:sz w:val="30"/>
          <w:szCs w:val="30"/>
        </w:rPr>
        <w:t>公司出具的关于甄某工作职责的说明，相关工程合同等书证，广东省暂时扣留财物收据，破案报告，常住人口基本信息等证据证明，足以认定。</w:t>
      </w:r>
    </w:p>
    <w:p w:rsidR="007375C5" w:rsidRDefault="007375C5">
      <w:pPr>
        <w:spacing w:line="500" w:lineRule="atLeast"/>
        <w:ind w:firstLine="600"/>
        <w:divId w:val="1789012109"/>
        <w:rPr>
          <w:rFonts w:hint="eastAsia"/>
          <w:sz w:val="30"/>
          <w:szCs w:val="30"/>
        </w:rPr>
      </w:pPr>
      <w:r>
        <w:rPr>
          <w:rFonts w:hint="eastAsia"/>
          <w:sz w:val="30"/>
          <w:szCs w:val="30"/>
        </w:rPr>
        <w:t>本院认为，被告人甄某在作为国家工作人员、公司工作人员期间，利用职务上的便利，非法收受他人财物，为他人谋取利益，其行为分别构成受贿罪和非国家工作人员受贿罪；甄某犯数罪，依法应当数罪并罚。公诉机关指控甄某犯罪的事实清楚，证据确实、充分，本院予以支持。公诉机关遗漏认定甄某所任职的市二</w:t>
      </w:r>
      <w:r>
        <w:rPr>
          <w:rFonts w:hint="eastAsia"/>
          <w:sz w:val="30"/>
          <w:szCs w:val="30"/>
        </w:rPr>
        <w:t>X</w:t>
      </w:r>
      <w:r>
        <w:rPr>
          <w:rFonts w:hint="eastAsia"/>
          <w:sz w:val="30"/>
          <w:szCs w:val="30"/>
        </w:rPr>
        <w:t>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日起已改制为国有控股公司的相关事实，错误地认定甄某一直具备国家工作人员身份，导致将甄某的全部受贿行为均以受贿罪定性。对此，本院依法予以纠正，并根据市二</w:t>
      </w:r>
      <w:r>
        <w:rPr>
          <w:rFonts w:hint="eastAsia"/>
          <w:sz w:val="30"/>
          <w:szCs w:val="30"/>
        </w:rPr>
        <w:t>X</w:t>
      </w:r>
      <w:r>
        <w:rPr>
          <w:rFonts w:hint="eastAsia"/>
          <w:sz w:val="30"/>
          <w:szCs w:val="30"/>
        </w:rPr>
        <w:t>公司改制前后甄某的身份变化情况，将其受贿行为分别以受贿罪及非国家工作人员受贿罪予以定罪处罚。对于辩护人以甄某与市二</w:t>
      </w:r>
      <w:r>
        <w:rPr>
          <w:rFonts w:hint="eastAsia"/>
          <w:sz w:val="30"/>
          <w:szCs w:val="30"/>
        </w:rPr>
        <w:t>X</w:t>
      </w:r>
      <w:r>
        <w:rPr>
          <w:rFonts w:hint="eastAsia"/>
          <w:sz w:val="30"/>
          <w:szCs w:val="30"/>
        </w:rPr>
        <w:t>公司存在的劳动合同关系，未从事公务管理为由，所提的甄某不构成受贿罪的相关辩护意见，经查，在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日之前，甄某在国有公司市二</w:t>
      </w:r>
      <w:r>
        <w:rPr>
          <w:rFonts w:hint="eastAsia"/>
          <w:sz w:val="30"/>
          <w:szCs w:val="30"/>
        </w:rPr>
        <w:t>X</w:t>
      </w:r>
      <w:r>
        <w:rPr>
          <w:rFonts w:hint="eastAsia"/>
          <w:sz w:val="30"/>
          <w:szCs w:val="30"/>
        </w:rPr>
        <w:t>公司中担任工程处副主任、主任、项目经理的职务，代表国有公司履行相应的工程施工管理等职责，依照《中华人民共和国刑法》第九十三条第二款和《最高人民法院全国法院审理经济犯罪案件工作座谈会纪要》的规定，属在国有公司中从事公务的人员，应以国家工作人员论处。甄某与市二</w:t>
      </w:r>
      <w:r>
        <w:rPr>
          <w:rFonts w:hint="eastAsia"/>
          <w:sz w:val="30"/>
          <w:szCs w:val="30"/>
        </w:rPr>
        <w:t>X</w:t>
      </w:r>
      <w:r>
        <w:rPr>
          <w:rFonts w:hint="eastAsia"/>
          <w:sz w:val="30"/>
          <w:szCs w:val="30"/>
        </w:rPr>
        <w:t>公司存在的劳动合同关系并不影响其属在国有公司中从事公务的人员的认定。甄某的受贿行为，依法应以受贿罪定罪处罚。综上所述，辩护人认为甄某不构成受贿罪的相关辩护意见不成立，本院不予采纳。鉴于甄某犯罪后能自动投案，并如实供述自己的罪行，有自首情节，故依法可予从轻处罚。甄某归案后能退缴全部违法所得，有悔罪表现，故酌情对其从轻处罚，并适用缓刑。甄某的</w:t>
      </w:r>
      <w:r>
        <w:rPr>
          <w:rFonts w:hint="eastAsia"/>
          <w:sz w:val="30"/>
          <w:szCs w:val="30"/>
        </w:rPr>
        <w:t>辩护人有关对甄某免予刑事处罚的辩护意见不成立，本院不予采纳。本院综合考虑甄某作案的具体事实、性质、情节、对社会的危害程度及认罪态度等因素，依照《中华人民共和国刑法》第九十三条第二款，第三百八十五条第一款，第三百八十六条，第三百八十三条第一款第（三）项，第一百六十三条第一款，第六十七条第一款，第六十九条第一款，第七十二条第一款，第七十三条第二款、第三款，第六十四条的规定，判决如下：</w:t>
      </w:r>
    </w:p>
    <w:p w:rsidR="007375C5" w:rsidRDefault="007375C5">
      <w:pPr>
        <w:spacing w:line="500" w:lineRule="atLeast"/>
        <w:ind w:firstLine="600"/>
        <w:divId w:val="990211049"/>
        <w:rPr>
          <w:rFonts w:hint="eastAsia"/>
          <w:sz w:val="30"/>
          <w:szCs w:val="30"/>
        </w:rPr>
      </w:pPr>
      <w:r>
        <w:rPr>
          <w:rFonts w:hint="eastAsia"/>
          <w:sz w:val="30"/>
          <w:szCs w:val="30"/>
        </w:rPr>
        <w:t>一、被告人甄某犯受贿罪，判处有期徒刑一年；犯非国家工作人员受贿罪，判处有期徒刑六个月。决定执行有期徒刑一年三个月，缓刑一年六个月。</w:t>
      </w:r>
    </w:p>
    <w:p w:rsidR="007375C5" w:rsidRDefault="007375C5">
      <w:pPr>
        <w:spacing w:line="500" w:lineRule="atLeast"/>
        <w:ind w:firstLine="600"/>
        <w:divId w:val="1746687206"/>
        <w:rPr>
          <w:rFonts w:hint="eastAsia"/>
          <w:sz w:val="30"/>
          <w:szCs w:val="30"/>
        </w:rPr>
      </w:pPr>
      <w:r>
        <w:rPr>
          <w:rFonts w:hint="eastAsia"/>
          <w:sz w:val="30"/>
          <w:szCs w:val="30"/>
        </w:rPr>
        <w:t>（缓刑考验期从判决确定之日起计算。）</w:t>
      </w:r>
    </w:p>
    <w:p w:rsidR="007375C5" w:rsidRDefault="007375C5">
      <w:pPr>
        <w:spacing w:line="500" w:lineRule="atLeast"/>
        <w:ind w:firstLine="600"/>
        <w:divId w:val="445587660"/>
        <w:rPr>
          <w:rFonts w:hint="eastAsia"/>
          <w:sz w:val="30"/>
          <w:szCs w:val="30"/>
        </w:rPr>
      </w:pPr>
      <w:r>
        <w:rPr>
          <w:rFonts w:hint="eastAsia"/>
          <w:sz w:val="30"/>
          <w:szCs w:val="30"/>
        </w:rPr>
        <w:t>二、扣押在案的赃款人民币</w:t>
      </w:r>
      <w:r>
        <w:rPr>
          <w:rFonts w:hint="eastAsia"/>
          <w:sz w:val="30"/>
          <w:szCs w:val="30"/>
        </w:rPr>
        <w:t>68</w:t>
      </w:r>
      <w:r>
        <w:rPr>
          <w:rFonts w:hint="eastAsia"/>
          <w:sz w:val="30"/>
          <w:szCs w:val="30"/>
        </w:rPr>
        <w:t>，</w:t>
      </w:r>
      <w:r>
        <w:rPr>
          <w:rFonts w:hint="eastAsia"/>
          <w:sz w:val="30"/>
          <w:szCs w:val="30"/>
        </w:rPr>
        <w:t>000</w:t>
      </w:r>
      <w:r>
        <w:rPr>
          <w:rFonts w:hint="eastAsia"/>
          <w:sz w:val="30"/>
          <w:szCs w:val="30"/>
        </w:rPr>
        <w:t>元，予以没收，上缴国库（本判项由扣押机关广东省广州市越秀区人民检察院执行）。</w:t>
      </w:r>
    </w:p>
    <w:p w:rsidR="007375C5" w:rsidRDefault="007375C5">
      <w:pPr>
        <w:spacing w:line="500" w:lineRule="atLeast"/>
        <w:ind w:firstLine="600"/>
        <w:divId w:val="118516944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375C5" w:rsidRDefault="007375C5">
      <w:pPr>
        <w:spacing w:line="500" w:lineRule="atLeast"/>
        <w:jc w:val="right"/>
        <w:divId w:val="1341930785"/>
        <w:rPr>
          <w:rFonts w:hint="eastAsia"/>
          <w:sz w:val="30"/>
          <w:szCs w:val="30"/>
        </w:rPr>
      </w:pPr>
      <w:r>
        <w:rPr>
          <w:rFonts w:hint="eastAsia"/>
          <w:sz w:val="30"/>
          <w:szCs w:val="30"/>
        </w:rPr>
        <w:t>审　判　长　　林旭群</w:t>
      </w:r>
    </w:p>
    <w:p w:rsidR="007375C5" w:rsidRDefault="007375C5">
      <w:pPr>
        <w:spacing w:line="500" w:lineRule="atLeast"/>
        <w:jc w:val="right"/>
        <w:divId w:val="1150438298"/>
        <w:rPr>
          <w:rFonts w:hint="eastAsia"/>
          <w:sz w:val="30"/>
          <w:szCs w:val="30"/>
        </w:rPr>
      </w:pPr>
      <w:r>
        <w:rPr>
          <w:rFonts w:hint="eastAsia"/>
          <w:sz w:val="30"/>
          <w:szCs w:val="30"/>
        </w:rPr>
        <w:t>人民陪审员　　黄小玲</w:t>
      </w:r>
    </w:p>
    <w:p w:rsidR="007375C5" w:rsidRDefault="007375C5">
      <w:pPr>
        <w:spacing w:line="500" w:lineRule="atLeast"/>
        <w:jc w:val="right"/>
        <w:divId w:val="50273848"/>
        <w:rPr>
          <w:rFonts w:hint="eastAsia"/>
          <w:sz w:val="30"/>
          <w:szCs w:val="30"/>
        </w:rPr>
      </w:pPr>
      <w:r>
        <w:rPr>
          <w:rFonts w:hint="eastAsia"/>
          <w:sz w:val="30"/>
          <w:szCs w:val="30"/>
        </w:rPr>
        <w:t>人民陪审员　　姚小琼</w:t>
      </w:r>
    </w:p>
    <w:p w:rsidR="007375C5" w:rsidRDefault="007375C5">
      <w:pPr>
        <w:spacing w:line="500" w:lineRule="atLeast"/>
        <w:jc w:val="right"/>
        <w:divId w:val="1349257146"/>
        <w:rPr>
          <w:rFonts w:hint="eastAsia"/>
          <w:sz w:val="30"/>
          <w:szCs w:val="30"/>
        </w:rPr>
      </w:pPr>
      <w:r>
        <w:rPr>
          <w:rFonts w:hint="eastAsia"/>
          <w:sz w:val="30"/>
          <w:szCs w:val="30"/>
        </w:rPr>
        <w:t>二〇一五年四月三日</w:t>
      </w:r>
    </w:p>
    <w:p w:rsidR="007375C5" w:rsidRDefault="007375C5">
      <w:pPr>
        <w:spacing w:line="500" w:lineRule="atLeast"/>
        <w:jc w:val="right"/>
        <w:divId w:val="31345707"/>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5C5" w:rsidRDefault="007375C5" w:rsidP="007375C5">
      <w:pPr>
        <w:rPr>
          <w:rFonts w:hint="eastAsia"/>
        </w:rPr>
      </w:pPr>
      <w:r>
        <w:separator/>
      </w:r>
    </w:p>
  </w:endnote>
  <w:endnote w:type="continuationSeparator" w:id="0">
    <w:p w:rsidR="007375C5" w:rsidRDefault="007375C5" w:rsidP="007375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5C5" w:rsidRDefault="007375C5" w:rsidP="007375C5">
      <w:pPr>
        <w:rPr>
          <w:rFonts w:hint="eastAsia"/>
        </w:rPr>
      </w:pPr>
      <w:r>
        <w:separator/>
      </w:r>
    </w:p>
  </w:footnote>
  <w:footnote w:type="continuationSeparator" w:id="0">
    <w:p w:rsidR="007375C5" w:rsidRDefault="007375C5" w:rsidP="007375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75C5"/>
    <w:rsid w:val="007235DD"/>
    <w:rsid w:val="00737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75C5"/>
    <w:pPr>
      <w:tabs>
        <w:tab w:val="center" w:pos="4153"/>
        <w:tab w:val="right" w:pos="8306"/>
      </w:tabs>
      <w:snapToGrid w:val="0"/>
      <w:jc w:val="center"/>
    </w:pPr>
    <w:rPr>
      <w:sz w:val="18"/>
      <w:szCs w:val="18"/>
    </w:rPr>
  </w:style>
  <w:style w:type="character" w:customStyle="1" w:styleId="a4">
    <w:name w:val="页眉 字符"/>
    <w:basedOn w:val="a0"/>
    <w:link w:val="a3"/>
    <w:uiPriority w:val="99"/>
    <w:rsid w:val="007375C5"/>
    <w:rPr>
      <w:rFonts w:ascii="宋体" w:eastAsia="宋体" w:hAnsi="宋体" w:cs="宋体"/>
      <w:sz w:val="18"/>
      <w:szCs w:val="18"/>
    </w:rPr>
  </w:style>
  <w:style w:type="paragraph" w:styleId="a5">
    <w:name w:val="footer"/>
    <w:basedOn w:val="a"/>
    <w:link w:val="a6"/>
    <w:uiPriority w:val="99"/>
    <w:unhideWhenUsed/>
    <w:rsid w:val="007375C5"/>
    <w:pPr>
      <w:tabs>
        <w:tab w:val="center" w:pos="4153"/>
        <w:tab w:val="right" w:pos="8306"/>
      </w:tabs>
      <w:snapToGrid w:val="0"/>
    </w:pPr>
    <w:rPr>
      <w:sz w:val="18"/>
      <w:szCs w:val="18"/>
    </w:rPr>
  </w:style>
  <w:style w:type="character" w:customStyle="1" w:styleId="a6">
    <w:name w:val="页脚 字符"/>
    <w:basedOn w:val="a0"/>
    <w:link w:val="a5"/>
    <w:uiPriority w:val="99"/>
    <w:rsid w:val="007375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5707">
      <w:marLeft w:val="0"/>
      <w:marRight w:val="720"/>
      <w:marTop w:val="10"/>
      <w:marBottom w:val="10"/>
      <w:divBdr>
        <w:top w:val="none" w:sz="0" w:space="0" w:color="auto"/>
        <w:left w:val="none" w:sz="0" w:space="0" w:color="auto"/>
        <w:bottom w:val="none" w:sz="0" w:space="0" w:color="auto"/>
        <w:right w:val="none" w:sz="0" w:space="0" w:color="auto"/>
      </w:divBdr>
    </w:div>
    <w:div w:id="50273848">
      <w:marLeft w:val="0"/>
      <w:marRight w:val="720"/>
      <w:marTop w:val="10"/>
      <w:marBottom w:val="10"/>
      <w:divBdr>
        <w:top w:val="none" w:sz="0" w:space="0" w:color="auto"/>
        <w:left w:val="none" w:sz="0" w:space="0" w:color="auto"/>
        <w:bottom w:val="none" w:sz="0" w:space="0" w:color="auto"/>
        <w:right w:val="none" w:sz="0" w:space="0" w:color="auto"/>
      </w:divBdr>
    </w:div>
    <w:div w:id="243686604">
      <w:marLeft w:val="0"/>
      <w:marRight w:val="0"/>
      <w:marTop w:val="10"/>
      <w:marBottom w:val="10"/>
      <w:divBdr>
        <w:top w:val="none" w:sz="0" w:space="0" w:color="auto"/>
        <w:left w:val="none" w:sz="0" w:space="0" w:color="auto"/>
        <w:bottom w:val="none" w:sz="0" w:space="0" w:color="auto"/>
        <w:right w:val="none" w:sz="0" w:space="0" w:color="auto"/>
      </w:divBdr>
    </w:div>
    <w:div w:id="352222089">
      <w:marLeft w:val="0"/>
      <w:marRight w:val="0"/>
      <w:marTop w:val="10"/>
      <w:marBottom w:val="10"/>
      <w:divBdr>
        <w:top w:val="none" w:sz="0" w:space="0" w:color="auto"/>
        <w:left w:val="none" w:sz="0" w:space="0" w:color="auto"/>
        <w:bottom w:val="none" w:sz="0" w:space="0" w:color="auto"/>
        <w:right w:val="none" w:sz="0" w:space="0" w:color="auto"/>
      </w:divBdr>
    </w:div>
    <w:div w:id="445587660">
      <w:marLeft w:val="0"/>
      <w:marRight w:val="0"/>
      <w:marTop w:val="10"/>
      <w:marBottom w:val="10"/>
      <w:divBdr>
        <w:top w:val="none" w:sz="0" w:space="0" w:color="auto"/>
        <w:left w:val="none" w:sz="0" w:space="0" w:color="auto"/>
        <w:bottom w:val="none" w:sz="0" w:space="0" w:color="auto"/>
        <w:right w:val="none" w:sz="0" w:space="0" w:color="auto"/>
      </w:divBdr>
    </w:div>
    <w:div w:id="527135903">
      <w:marLeft w:val="0"/>
      <w:marRight w:val="0"/>
      <w:marTop w:val="10"/>
      <w:marBottom w:val="10"/>
      <w:divBdr>
        <w:top w:val="none" w:sz="0" w:space="0" w:color="auto"/>
        <w:left w:val="none" w:sz="0" w:space="0" w:color="auto"/>
        <w:bottom w:val="none" w:sz="0" w:space="0" w:color="auto"/>
        <w:right w:val="none" w:sz="0" w:space="0" w:color="auto"/>
      </w:divBdr>
    </w:div>
    <w:div w:id="540899532">
      <w:marLeft w:val="0"/>
      <w:marRight w:val="0"/>
      <w:marTop w:val="10"/>
      <w:marBottom w:val="10"/>
      <w:divBdr>
        <w:top w:val="none" w:sz="0" w:space="0" w:color="auto"/>
        <w:left w:val="none" w:sz="0" w:space="0" w:color="auto"/>
        <w:bottom w:val="none" w:sz="0" w:space="0" w:color="auto"/>
        <w:right w:val="none" w:sz="0" w:space="0" w:color="auto"/>
      </w:divBdr>
    </w:div>
    <w:div w:id="604264392">
      <w:marLeft w:val="0"/>
      <w:marRight w:val="0"/>
      <w:marTop w:val="10"/>
      <w:marBottom w:val="10"/>
      <w:divBdr>
        <w:top w:val="none" w:sz="0" w:space="0" w:color="auto"/>
        <w:left w:val="none" w:sz="0" w:space="0" w:color="auto"/>
        <w:bottom w:val="none" w:sz="0" w:space="0" w:color="auto"/>
        <w:right w:val="none" w:sz="0" w:space="0" w:color="auto"/>
      </w:divBdr>
    </w:div>
    <w:div w:id="662120927">
      <w:marLeft w:val="0"/>
      <w:marRight w:val="0"/>
      <w:marTop w:val="10"/>
      <w:marBottom w:val="10"/>
      <w:divBdr>
        <w:top w:val="none" w:sz="0" w:space="0" w:color="auto"/>
        <w:left w:val="none" w:sz="0" w:space="0" w:color="auto"/>
        <w:bottom w:val="none" w:sz="0" w:space="0" w:color="auto"/>
        <w:right w:val="none" w:sz="0" w:space="0" w:color="auto"/>
      </w:divBdr>
    </w:div>
    <w:div w:id="886182384">
      <w:marLeft w:val="0"/>
      <w:marRight w:val="0"/>
      <w:marTop w:val="10"/>
      <w:marBottom w:val="10"/>
      <w:divBdr>
        <w:top w:val="none" w:sz="0" w:space="0" w:color="auto"/>
        <w:left w:val="none" w:sz="0" w:space="0" w:color="auto"/>
        <w:bottom w:val="none" w:sz="0" w:space="0" w:color="auto"/>
        <w:right w:val="none" w:sz="0" w:space="0" w:color="auto"/>
      </w:divBdr>
    </w:div>
    <w:div w:id="907037577">
      <w:marLeft w:val="0"/>
      <w:marRight w:val="0"/>
      <w:marTop w:val="10"/>
      <w:marBottom w:val="10"/>
      <w:divBdr>
        <w:top w:val="none" w:sz="0" w:space="0" w:color="auto"/>
        <w:left w:val="none" w:sz="0" w:space="0" w:color="auto"/>
        <w:bottom w:val="none" w:sz="0" w:space="0" w:color="auto"/>
        <w:right w:val="none" w:sz="0" w:space="0" w:color="auto"/>
      </w:divBdr>
    </w:div>
    <w:div w:id="990211049">
      <w:marLeft w:val="0"/>
      <w:marRight w:val="0"/>
      <w:marTop w:val="10"/>
      <w:marBottom w:val="10"/>
      <w:divBdr>
        <w:top w:val="none" w:sz="0" w:space="0" w:color="auto"/>
        <w:left w:val="none" w:sz="0" w:space="0" w:color="auto"/>
        <w:bottom w:val="none" w:sz="0" w:space="0" w:color="auto"/>
        <w:right w:val="none" w:sz="0" w:space="0" w:color="auto"/>
      </w:divBdr>
    </w:div>
    <w:div w:id="1036154343">
      <w:marLeft w:val="0"/>
      <w:marRight w:val="0"/>
      <w:marTop w:val="10"/>
      <w:marBottom w:val="10"/>
      <w:divBdr>
        <w:top w:val="none" w:sz="0" w:space="0" w:color="auto"/>
        <w:left w:val="none" w:sz="0" w:space="0" w:color="auto"/>
        <w:bottom w:val="none" w:sz="0" w:space="0" w:color="auto"/>
        <w:right w:val="none" w:sz="0" w:space="0" w:color="auto"/>
      </w:divBdr>
    </w:div>
    <w:div w:id="1150438298">
      <w:marLeft w:val="0"/>
      <w:marRight w:val="720"/>
      <w:marTop w:val="10"/>
      <w:marBottom w:val="10"/>
      <w:divBdr>
        <w:top w:val="none" w:sz="0" w:space="0" w:color="auto"/>
        <w:left w:val="none" w:sz="0" w:space="0" w:color="auto"/>
        <w:bottom w:val="none" w:sz="0" w:space="0" w:color="auto"/>
        <w:right w:val="none" w:sz="0" w:space="0" w:color="auto"/>
      </w:divBdr>
    </w:div>
    <w:div w:id="1162239575">
      <w:marLeft w:val="0"/>
      <w:marRight w:val="0"/>
      <w:marTop w:val="10"/>
      <w:marBottom w:val="10"/>
      <w:divBdr>
        <w:top w:val="none" w:sz="0" w:space="0" w:color="auto"/>
        <w:left w:val="none" w:sz="0" w:space="0" w:color="auto"/>
        <w:bottom w:val="none" w:sz="0" w:space="0" w:color="auto"/>
        <w:right w:val="none" w:sz="0" w:space="0" w:color="auto"/>
      </w:divBdr>
    </w:div>
    <w:div w:id="1185169441">
      <w:marLeft w:val="0"/>
      <w:marRight w:val="0"/>
      <w:marTop w:val="10"/>
      <w:marBottom w:val="10"/>
      <w:divBdr>
        <w:top w:val="none" w:sz="0" w:space="0" w:color="auto"/>
        <w:left w:val="none" w:sz="0" w:space="0" w:color="auto"/>
        <w:bottom w:val="none" w:sz="0" w:space="0" w:color="auto"/>
        <w:right w:val="none" w:sz="0" w:space="0" w:color="auto"/>
      </w:divBdr>
    </w:div>
    <w:div w:id="1341930785">
      <w:marLeft w:val="0"/>
      <w:marRight w:val="720"/>
      <w:marTop w:val="10"/>
      <w:marBottom w:val="10"/>
      <w:divBdr>
        <w:top w:val="none" w:sz="0" w:space="0" w:color="auto"/>
        <w:left w:val="none" w:sz="0" w:space="0" w:color="auto"/>
        <w:bottom w:val="none" w:sz="0" w:space="0" w:color="auto"/>
        <w:right w:val="none" w:sz="0" w:space="0" w:color="auto"/>
      </w:divBdr>
    </w:div>
    <w:div w:id="1349257146">
      <w:marLeft w:val="0"/>
      <w:marRight w:val="720"/>
      <w:marTop w:val="10"/>
      <w:marBottom w:val="10"/>
      <w:divBdr>
        <w:top w:val="none" w:sz="0" w:space="0" w:color="auto"/>
        <w:left w:val="none" w:sz="0" w:space="0" w:color="auto"/>
        <w:bottom w:val="none" w:sz="0" w:space="0" w:color="auto"/>
        <w:right w:val="none" w:sz="0" w:space="0" w:color="auto"/>
      </w:divBdr>
    </w:div>
    <w:div w:id="1406345068">
      <w:marLeft w:val="0"/>
      <w:marRight w:val="0"/>
      <w:marTop w:val="10"/>
      <w:marBottom w:val="10"/>
      <w:divBdr>
        <w:top w:val="none" w:sz="0" w:space="0" w:color="auto"/>
        <w:left w:val="none" w:sz="0" w:space="0" w:color="auto"/>
        <w:bottom w:val="none" w:sz="0" w:space="0" w:color="auto"/>
        <w:right w:val="none" w:sz="0" w:space="0" w:color="auto"/>
      </w:divBdr>
    </w:div>
    <w:div w:id="1455169370">
      <w:marLeft w:val="0"/>
      <w:marRight w:val="0"/>
      <w:marTop w:val="10"/>
      <w:marBottom w:val="10"/>
      <w:divBdr>
        <w:top w:val="none" w:sz="0" w:space="0" w:color="auto"/>
        <w:left w:val="none" w:sz="0" w:space="0" w:color="auto"/>
        <w:bottom w:val="none" w:sz="0" w:space="0" w:color="auto"/>
        <w:right w:val="none" w:sz="0" w:space="0" w:color="auto"/>
      </w:divBdr>
    </w:div>
    <w:div w:id="1497840277">
      <w:marLeft w:val="0"/>
      <w:marRight w:val="0"/>
      <w:marTop w:val="10"/>
      <w:marBottom w:val="10"/>
      <w:divBdr>
        <w:top w:val="none" w:sz="0" w:space="0" w:color="auto"/>
        <w:left w:val="none" w:sz="0" w:space="0" w:color="auto"/>
        <w:bottom w:val="none" w:sz="0" w:space="0" w:color="auto"/>
        <w:right w:val="none" w:sz="0" w:space="0" w:color="auto"/>
      </w:divBdr>
    </w:div>
    <w:div w:id="1513686905">
      <w:marLeft w:val="0"/>
      <w:marRight w:val="0"/>
      <w:marTop w:val="10"/>
      <w:marBottom w:val="10"/>
      <w:divBdr>
        <w:top w:val="none" w:sz="0" w:space="0" w:color="auto"/>
        <w:left w:val="none" w:sz="0" w:space="0" w:color="auto"/>
        <w:bottom w:val="none" w:sz="0" w:space="0" w:color="auto"/>
        <w:right w:val="none" w:sz="0" w:space="0" w:color="auto"/>
      </w:divBdr>
    </w:div>
    <w:div w:id="1519463310">
      <w:marLeft w:val="0"/>
      <w:marRight w:val="0"/>
      <w:marTop w:val="10"/>
      <w:marBottom w:val="10"/>
      <w:divBdr>
        <w:top w:val="none" w:sz="0" w:space="0" w:color="auto"/>
        <w:left w:val="none" w:sz="0" w:space="0" w:color="auto"/>
        <w:bottom w:val="none" w:sz="0" w:space="0" w:color="auto"/>
        <w:right w:val="none" w:sz="0" w:space="0" w:color="auto"/>
      </w:divBdr>
    </w:div>
    <w:div w:id="1553618237">
      <w:marLeft w:val="0"/>
      <w:marRight w:val="0"/>
      <w:marTop w:val="10"/>
      <w:marBottom w:val="10"/>
      <w:divBdr>
        <w:top w:val="none" w:sz="0" w:space="0" w:color="auto"/>
        <w:left w:val="none" w:sz="0" w:space="0" w:color="auto"/>
        <w:bottom w:val="none" w:sz="0" w:space="0" w:color="auto"/>
        <w:right w:val="none" w:sz="0" w:space="0" w:color="auto"/>
      </w:divBdr>
    </w:div>
    <w:div w:id="1746687206">
      <w:marLeft w:val="0"/>
      <w:marRight w:val="0"/>
      <w:marTop w:val="10"/>
      <w:marBottom w:val="10"/>
      <w:divBdr>
        <w:top w:val="none" w:sz="0" w:space="0" w:color="auto"/>
        <w:left w:val="none" w:sz="0" w:space="0" w:color="auto"/>
        <w:bottom w:val="none" w:sz="0" w:space="0" w:color="auto"/>
        <w:right w:val="none" w:sz="0" w:space="0" w:color="auto"/>
      </w:divBdr>
    </w:div>
    <w:div w:id="1789012109">
      <w:marLeft w:val="0"/>
      <w:marRight w:val="0"/>
      <w:marTop w:val="10"/>
      <w:marBottom w:val="10"/>
      <w:divBdr>
        <w:top w:val="none" w:sz="0" w:space="0" w:color="auto"/>
        <w:left w:val="none" w:sz="0" w:space="0" w:color="auto"/>
        <w:bottom w:val="none" w:sz="0" w:space="0" w:color="auto"/>
        <w:right w:val="none" w:sz="0" w:space="0" w:color="auto"/>
      </w:divBdr>
    </w:div>
    <w:div w:id="1937589529">
      <w:marLeft w:val="0"/>
      <w:marRight w:val="0"/>
      <w:marTop w:val="10"/>
      <w:marBottom w:val="10"/>
      <w:divBdr>
        <w:top w:val="none" w:sz="0" w:space="0" w:color="auto"/>
        <w:left w:val="none" w:sz="0" w:space="0" w:color="auto"/>
        <w:bottom w:val="none" w:sz="0" w:space="0" w:color="auto"/>
        <w:right w:val="none" w:sz="0" w:space="0" w:color="auto"/>
      </w:divBdr>
    </w:div>
    <w:div w:id="1975671554">
      <w:marLeft w:val="0"/>
      <w:marRight w:val="0"/>
      <w:marTop w:val="10"/>
      <w:marBottom w:val="10"/>
      <w:divBdr>
        <w:top w:val="none" w:sz="0" w:space="0" w:color="auto"/>
        <w:left w:val="none" w:sz="0" w:space="0" w:color="auto"/>
        <w:bottom w:val="none" w:sz="0" w:space="0" w:color="auto"/>
        <w:right w:val="none" w:sz="0" w:space="0" w:color="auto"/>
      </w:divBdr>
    </w:div>
    <w:div w:id="1979919527">
      <w:marLeft w:val="0"/>
      <w:marRight w:val="0"/>
      <w:marTop w:val="10"/>
      <w:marBottom w:val="10"/>
      <w:divBdr>
        <w:top w:val="none" w:sz="0" w:space="0" w:color="auto"/>
        <w:left w:val="none" w:sz="0" w:space="0" w:color="auto"/>
        <w:bottom w:val="none" w:sz="0" w:space="0" w:color="auto"/>
        <w:right w:val="none" w:sz="0" w:space="0" w:color="auto"/>
      </w:divBdr>
    </w:div>
    <w:div w:id="2043168647">
      <w:marLeft w:val="0"/>
      <w:marRight w:val="0"/>
      <w:marTop w:val="10"/>
      <w:marBottom w:val="10"/>
      <w:divBdr>
        <w:top w:val="none" w:sz="0" w:space="0" w:color="auto"/>
        <w:left w:val="none" w:sz="0" w:space="0" w:color="auto"/>
        <w:bottom w:val="none" w:sz="0" w:space="0" w:color="auto"/>
        <w:right w:val="none" w:sz="0" w:space="0" w:color="auto"/>
      </w:divBdr>
    </w:div>
    <w:div w:id="2124614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