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E93" w:rsidRDefault="00000E93">
      <w:pPr>
        <w:spacing w:line="500" w:lineRule="atLeast"/>
        <w:jc w:val="center"/>
        <w:divId w:val="1091512081"/>
        <w:rPr>
          <w:rFonts w:ascii="黑体" w:eastAsia="黑体" w:hAnsi="黑体"/>
          <w:sz w:val="36"/>
          <w:szCs w:val="36"/>
        </w:rPr>
      </w:pPr>
      <w:r>
        <w:rPr>
          <w:rFonts w:ascii="黑体" w:eastAsia="黑体" w:hAnsi="黑体" w:hint="eastAsia"/>
          <w:sz w:val="36"/>
          <w:szCs w:val="36"/>
        </w:rPr>
        <w:t>广东省中山市第一人民法院</w:t>
      </w:r>
    </w:p>
    <w:p w:rsidR="00000E93" w:rsidRDefault="00000E93">
      <w:pPr>
        <w:spacing w:line="500" w:lineRule="atLeast"/>
        <w:jc w:val="center"/>
        <w:divId w:val="93254375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00E93" w:rsidRDefault="00000E93">
      <w:pPr>
        <w:spacing w:line="500" w:lineRule="atLeast"/>
        <w:jc w:val="right"/>
        <w:divId w:val="8010336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1539</w:t>
      </w:r>
      <w:r>
        <w:rPr>
          <w:rFonts w:hint="eastAsia"/>
          <w:sz w:val="30"/>
          <w:szCs w:val="30"/>
        </w:rPr>
        <w:t>号</w:t>
      </w:r>
    </w:p>
    <w:p w:rsidR="00000E93" w:rsidRDefault="00000E93">
      <w:pPr>
        <w:spacing w:line="500" w:lineRule="atLeast"/>
        <w:ind w:firstLine="600"/>
        <w:divId w:val="2117630423"/>
        <w:rPr>
          <w:rFonts w:hint="eastAsia"/>
          <w:sz w:val="30"/>
          <w:szCs w:val="30"/>
        </w:rPr>
      </w:pPr>
      <w:r>
        <w:rPr>
          <w:rFonts w:hint="eastAsia"/>
          <w:sz w:val="30"/>
          <w:szCs w:val="30"/>
        </w:rPr>
        <w:t>公诉机关中山市第一市区人民检察院。</w:t>
      </w:r>
    </w:p>
    <w:p w:rsidR="00000E93" w:rsidRDefault="00000E93">
      <w:pPr>
        <w:spacing w:line="500" w:lineRule="atLeast"/>
        <w:ind w:firstLine="600"/>
        <w:divId w:val="1331910356"/>
        <w:rPr>
          <w:rFonts w:hint="eastAsia"/>
          <w:sz w:val="30"/>
          <w:szCs w:val="30"/>
        </w:rPr>
      </w:pPr>
      <w:r>
        <w:rPr>
          <w:rFonts w:hint="eastAsia"/>
          <w:sz w:val="30"/>
          <w:szCs w:val="30"/>
        </w:rPr>
        <w:t>被告人田某，男，于四川省达县，公民身份号码：×××</w:t>
      </w:r>
      <w:r>
        <w:rPr>
          <w:rFonts w:hint="eastAsia"/>
          <w:sz w:val="30"/>
          <w:szCs w:val="30"/>
        </w:rPr>
        <w:t>0030</w:t>
      </w:r>
      <w:r>
        <w:rPr>
          <w:rFonts w:hint="eastAsia"/>
          <w:sz w:val="30"/>
          <w:szCs w:val="30"/>
        </w:rPr>
        <w:t>，汉族，大学文化，原系广东省高级人民法院（以下简称广东高院）民二庭、民××庭助理审判员、审判员，户籍所在地广州市天河区。因本案于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日被刑事拘留，同年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日被逮捕。现押于中山市看守所。</w:t>
      </w:r>
    </w:p>
    <w:p w:rsidR="00000E93" w:rsidRDefault="00000E93">
      <w:pPr>
        <w:spacing w:line="500" w:lineRule="atLeast"/>
        <w:ind w:firstLine="600"/>
        <w:divId w:val="671566132"/>
        <w:rPr>
          <w:rFonts w:hint="eastAsia"/>
          <w:sz w:val="30"/>
          <w:szCs w:val="30"/>
        </w:rPr>
      </w:pPr>
      <w:r>
        <w:rPr>
          <w:rFonts w:hint="eastAsia"/>
          <w:sz w:val="30"/>
          <w:szCs w:val="30"/>
        </w:rPr>
        <w:t>辩护人李待君，广东南方福瑞德律师事务所律师。</w:t>
      </w:r>
    </w:p>
    <w:p w:rsidR="00000E93" w:rsidRDefault="00000E93">
      <w:pPr>
        <w:spacing w:line="500" w:lineRule="atLeast"/>
        <w:ind w:firstLine="600"/>
        <w:divId w:val="1824807164"/>
        <w:rPr>
          <w:rFonts w:hint="eastAsia"/>
          <w:sz w:val="30"/>
          <w:szCs w:val="30"/>
        </w:rPr>
      </w:pPr>
      <w:r>
        <w:rPr>
          <w:rFonts w:hint="eastAsia"/>
          <w:sz w:val="30"/>
          <w:szCs w:val="30"/>
        </w:rPr>
        <w:t>在广州市海珠区人民法院审理期间，广东省高级人民法院将本案指定本院管辖。中山市第一市区人民检察院以中检一区刑诉（</w:t>
      </w:r>
      <w:r>
        <w:rPr>
          <w:rFonts w:hint="eastAsia"/>
          <w:sz w:val="30"/>
          <w:szCs w:val="30"/>
        </w:rPr>
        <w:t>2016</w:t>
      </w:r>
      <w:r>
        <w:rPr>
          <w:rFonts w:hint="eastAsia"/>
          <w:sz w:val="30"/>
          <w:szCs w:val="30"/>
        </w:rPr>
        <w:t>）</w:t>
      </w:r>
      <w:r>
        <w:rPr>
          <w:rFonts w:hint="eastAsia"/>
          <w:sz w:val="30"/>
          <w:szCs w:val="30"/>
        </w:rPr>
        <w:t>1489</w:t>
      </w:r>
      <w:r>
        <w:rPr>
          <w:rFonts w:hint="eastAsia"/>
          <w:sz w:val="30"/>
          <w:szCs w:val="30"/>
        </w:rPr>
        <w:t>号起诉书指控被告人田某犯受贿罪，于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日公开开庭审理了本案。中山市第一市区人民检察院指派代理检察员陈燕珊出庭支持公诉，被告人田某及其辩护人李待君到庭参加诉讼。现已审理终结。</w:t>
      </w:r>
    </w:p>
    <w:p w:rsidR="00000E93" w:rsidRDefault="00000E93">
      <w:pPr>
        <w:spacing w:line="500" w:lineRule="atLeast"/>
        <w:ind w:firstLine="600"/>
        <w:divId w:val="1861775991"/>
        <w:rPr>
          <w:rFonts w:hint="eastAsia"/>
          <w:sz w:val="30"/>
          <w:szCs w:val="30"/>
        </w:rPr>
      </w:pPr>
      <w:r>
        <w:rPr>
          <w:rFonts w:hint="eastAsia"/>
          <w:sz w:val="30"/>
          <w:szCs w:val="30"/>
        </w:rPr>
        <w:t>中山市第一市区人民检察院指控，</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被告人田某任广东高院民二庭、民一庭助理审判员、审判员。期间，被告人田某利用职务上的便利，在审理原告孙爱珍诉被告广州市通百惠服务有限公司及第三人吕亚浦、戴晓兰、黄森、孙光财解散公司纠纷一案时，收受该案原告代理律师吴广（另案处理）的贿赂款人民币</w:t>
      </w:r>
      <w:r>
        <w:rPr>
          <w:rFonts w:hint="eastAsia"/>
          <w:sz w:val="30"/>
          <w:szCs w:val="30"/>
        </w:rPr>
        <w:t>20</w:t>
      </w:r>
      <w:r>
        <w:rPr>
          <w:rFonts w:hint="eastAsia"/>
          <w:sz w:val="30"/>
          <w:szCs w:val="30"/>
        </w:rPr>
        <w:t>万元，为其谋取利益。被告人田某在审理原告佛山市南海区官窑农村信用合作社诉被告南海市达兴塑料机械有限公司借款合同纠纷上诉案，原告云浮市英东劳动服务有限公司诉被告中煤深圳公司、开滦（集团）有限责任公司许可执行纠纷之上诉案，原告云浮市英东劳动服务有限公</w:t>
      </w:r>
      <w:r>
        <w:rPr>
          <w:rFonts w:hint="eastAsia"/>
          <w:sz w:val="30"/>
          <w:szCs w:val="30"/>
        </w:rPr>
        <w:lastRenderedPageBreak/>
        <w:t>司诉被告中煤深圳公司、兖矿集团有限公司许可执行纠纷之上诉案时，多次收受上述案件当事人的代理律师陶阳（另案处理）贿送的人民币</w:t>
      </w:r>
      <w:r>
        <w:rPr>
          <w:rFonts w:hint="eastAsia"/>
          <w:sz w:val="30"/>
          <w:szCs w:val="30"/>
        </w:rPr>
        <w:t>32</w:t>
      </w:r>
      <w:r>
        <w:rPr>
          <w:rFonts w:hint="eastAsia"/>
          <w:sz w:val="30"/>
          <w:szCs w:val="30"/>
        </w:rPr>
        <w:t>万元，为其谋取利益。</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日，被告人田某主动到检察机关投案，归案后如实供述了上述罪行。破案后，被告人田某已退出赃款人民币</w:t>
      </w:r>
      <w:r>
        <w:rPr>
          <w:rFonts w:hint="eastAsia"/>
          <w:sz w:val="30"/>
          <w:szCs w:val="30"/>
        </w:rPr>
        <w:t>52</w:t>
      </w:r>
      <w:r>
        <w:rPr>
          <w:rFonts w:hint="eastAsia"/>
          <w:sz w:val="30"/>
          <w:szCs w:val="30"/>
        </w:rPr>
        <w:t>万元。公诉机关提供了破案报告、书证、同案犯的供述、被告人的供述等证据以证实上述指控。公诉机关据此认为，被告人田某无视国家法律，身为国家工作人员，利用职务上的便利，非法收受他人财物，为他人谋取利益，数额巨大，其行为触犯了《中华人民共和国刑法》第三百八</w:t>
      </w:r>
      <w:r>
        <w:rPr>
          <w:rFonts w:hint="eastAsia"/>
          <w:sz w:val="30"/>
          <w:szCs w:val="30"/>
        </w:rPr>
        <w:t>十五条第一款、第三百八十六条、第三百八十三条第一款第（二）项的规定，应当以受贿罪追究其刑事责任。鉴于被告人田某有自首情节，根据《中华人民共和国刑法》第六十七条第一款的规定，可以从轻处罚。根据《中华人民共和国刑事诉讼法》第一百七十二条之规定，提请本院依法判处。</w:t>
      </w:r>
    </w:p>
    <w:p w:rsidR="00000E93" w:rsidRDefault="00000E93">
      <w:pPr>
        <w:spacing w:line="500" w:lineRule="atLeast"/>
        <w:ind w:firstLine="600"/>
        <w:divId w:val="2086800553"/>
        <w:rPr>
          <w:rFonts w:hint="eastAsia"/>
          <w:sz w:val="30"/>
          <w:szCs w:val="30"/>
        </w:rPr>
      </w:pPr>
      <w:r>
        <w:rPr>
          <w:rFonts w:hint="eastAsia"/>
          <w:sz w:val="30"/>
          <w:szCs w:val="30"/>
        </w:rPr>
        <w:t>被告人田某对公诉机关指控的罪名和犯罪事实均无异议，但辩称：一、在审理行贿人请托案件的过程中，均依法审理，没有滥用职权、枉法裁判；二、没有索贿情节；三、均于行贿人请托案件审结后收受贿赂。</w:t>
      </w:r>
    </w:p>
    <w:p w:rsidR="00000E93" w:rsidRDefault="00000E93">
      <w:pPr>
        <w:spacing w:line="500" w:lineRule="atLeast"/>
        <w:ind w:firstLine="600"/>
        <w:divId w:val="762606878"/>
        <w:rPr>
          <w:rFonts w:hint="eastAsia"/>
          <w:sz w:val="30"/>
          <w:szCs w:val="30"/>
        </w:rPr>
      </w:pPr>
      <w:r>
        <w:rPr>
          <w:rFonts w:hint="eastAsia"/>
          <w:sz w:val="30"/>
          <w:szCs w:val="30"/>
        </w:rPr>
        <w:t>辩护人辩称，被告人田某有自首情节、悔罪表现，积极退赃。</w:t>
      </w:r>
    </w:p>
    <w:p w:rsidR="00000E93" w:rsidRDefault="00000E93">
      <w:pPr>
        <w:spacing w:line="500" w:lineRule="atLeast"/>
        <w:ind w:firstLine="600"/>
        <w:divId w:val="811674140"/>
        <w:rPr>
          <w:rFonts w:hint="eastAsia"/>
          <w:sz w:val="30"/>
          <w:szCs w:val="30"/>
        </w:rPr>
      </w:pPr>
      <w:r>
        <w:rPr>
          <w:rFonts w:hint="eastAsia"/>
          <w:sz w:val="30"/>
          <w:szCs w:val="30"/>
        </w:rPr>
        <w:t>经审理查明：</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年，被告人田某任广东高院民二庭、民一庭助理审判员、审判员期间，利用职务上的便利，先后多次收受代理律师吴广、陶阳贿赂共计人民币</w:t>
      </w:r>
      <w:r>
        <w:rPr>
          <w:rFonts w:hint="eastAsia"/>
          <w:sz w:val="30"/>
          <w:szCs w:val="30"/>
        </w:rPr>
        <w:t>52</w:t>
      </w:r>
      <w:r>
        <w:rPr>
          <w:rFonts w:hint="eastAsia"/>
          <w:sz w:val="30"/>
          <w:szCs w:val="30"/>
        </w:rPr>
        <w:t>万元，为他人谋取利益。</w:t>
      </w:r>
    </w:p>
    <w:p w:rsidR="00000E93" w:rsidRDefault="00000E93">
      <w:pPr>
        <w:spacing w:line="500" w:lineRule="atLeast"/>
        <w:ind w:firstLine="600"/>
        <w:divId w:val="2126845028"/>
        <w:rPr>
          <w:rFonts w:hint="eastAsia"/>
          <w:sz w:val="30"/>
          <w:szCs w:val="30"/>
        </w:rPr>
      </w:pPr>
      <w:r>
        <w:rPr>
          <w:rFonts w:hint="eastAsia"/>
          <w:sz w:val="30"/>
          <w:szCs w:val="30"/>
        </w:rPr>
        <w:t>一、收受吴广贿赂犯罪事实</w:t>
      </w:r>
    </w:p>
    <w:p w:rsidR="00000E93" w:rsidRDefault="00000E93">
      <w:pPr>
        <w:spacing w:line="500" w:lineRule="atLeast"/>
        <w:ind w:firstLine="600"/>
        <w:divId w:val="1095974440"/>
        <w:rPr>
          <w:rFonts w:hint="eastAsia"/>
          <w:sz w:val="30"/>
          <w:szCs w:val="30"/>
        </w:rPr>
      </w:pPr>
      <w:r>
        <w:rPr>
          <w:rFonts w:hint="eastAsia"/>
          <w:sz w:val="30"/>
          <w:szCs w:val="30"/>
        </w:rPr>
        <w:t>2006</w:t>
      </w:r>
      <w:r>
        <w:rPr>
          <w:rFonts w:hint="eastAsia"/>
          <w:sz w:val="30"/>
          <w:szCs w:val="30"/>
        </w:rPr>
        <w:t>年下半年至</w:t>
      </w:r>
      <w:r>
        <w:rPr>
          <w:rFonts w:hint="eastAsia"/>
          <w:sz w:val="30"/>
          <w:szCs w:val="30"/>
        </w:rPr>
        <w:t>2007</w:t>
      </w:r>
      <w:r>
        <w:rPr>
          <w:rFonts w:hint="eastAsia"/>
          <w:sz w:val="30"/>
          <w:szCs w:val="30"/>
        </w:rPr>
        <w:t>年初，被告人田某在主审原告孙爱珍诉被告广州市通百惠服务有限公司及第三人吕亚浦、戴晓兰、黄森、孙光财解散公司纠纷二审上诉案时，接受该案原告孙爱珍代理律师吴广希望该案尽快以调解方式结案的请托，在该案审理过程中及审结后，先后两次共收受吴广贿送的人民币</w:t>
      </w:r>
      <w:r>
        <w:rPr>
          <w:rFonts w:hint="eastAsia"/>
          <w:sz w:val="30"/>
          <w:szCs w:val="30"/>
        </w:rPr>
        <w:t>20</w:t>
      </w:r>
      <w:r>
        <w:rPr>
          <w:rFonts w:hint="eastAsia"/>
          <w:sz w:val="30"/>
          <w:szCs w:val="30"/>
        </w:rPr>
        <w:t>万元。</w:t>
      </w:r>
    </w:p>
    <w:p w:rsidR="00000E93" w:rsidRDefault="00000E93">
      <w:pPr>
        <w:spacing w:line="500" w:lineRule="atLeast"/>
        <w:ind w:firstLine="600"/>
        <w:divId w:val="217055429"/>
        <w:rPr>
          <w:rFonts w:hint="eastAsia"/>
          <w:sz w:val="30"/>
          <w:szCs w:val="30"/>
        </w:rPr>
      </w:pPr>
      <w:r>
        <w:rPr>
          <w:rFonts w:hint="eastAsia"/>
          <w:sz w:val="30"/>
          <w:szCs w:val="30"/>
        </w:rPr>
        <w:t>二、收受陶阳贿赂犯罪事实</w:t>
      </w:r>
    </w:p>
    <w:p w:rsidR="00000E93" w:rsidRDefault="00000E93">
      <w:pPr>
        <w:spacing w:line="500" w:lineRule="atLeast"/>
        <w:ind w:firstLine="600"/>
        <w:divId w:val="35473898"/>
        <w:rPr>
          <w:rFonts w:hint="eastAsia"/>
          <w:sz w:val="30"/>
          <w:szCs w:val="30"/>
        </w:rPr>
      </w:pPr>
      <w:r>
        <w:rPr>
          <w:rFonts w:hint="eastAsia"/>
          <w:sz w:val="30"/>
          <w:szCs w:val="30"/>
        </w:rPr>
        <w:t>1.2006</w:t>
      </w:r>
      <w:r>
        <w:rPr>
          <w:rFonts w:hint="eastAsia"/>
          <w:sz w:val="30"/>
          <w:szCs w:val="30"/>
        </w:rPr>
        <w:t>年下半年，被告人田某在主审原告佛山市南海区官窑农村信用合作社诉被告南海市达兴塑料机械有限公司借款合同纠纷二审上诉案过程中，接受该案原告代理律师陶阳希望该案尽快审结的请托，于该案审结后收受陶阳贿送的人民币</w:t>
      </w:r>
      <w:r>
        <w:rPr>
          <w:rFonts w:hint="eastAsia"/>
          <w:sz w:val="30"/>
          <w:szCs w:val="30"/>
        </w:rPr>
        <w:t>2</w:t>
      </w:r>
      <w:r>
        <w:rPr>
          <w:rFonts w:hint="eastAsia"/>
          <w:sz w:val="30"/>
          <w:szCs w:val="30"/>
        </w:rPr>
        <w:t>万元。</w:t>
      </w:r>
    </w:p>
    <w:p w:rsidR="00000E93" w:rsidRDefault="00000E93">
      <w:pPr>
        <w:spacing w:line="500" w:lineRule="atLeast"/>
        <w:ind w:firstLine="600"/>
        <w:divId w:val="588661798"/>
        <w:rPr>
          <w:rFonts w:hint="eastAsia"/>
          <w:sz w:val="30"/>
          <w:szCs w:val="30"/>
        </w:rPr>
      </w:pPr>
      <w:r>
        <w:rPr>
          <w:rFonts w:hint="eastAsia"/>
          <w:sz w:val="30"/>
          <w:szCs w:val="30"/>
        </w:rPr>
        <w:t>2.2011</w:t>
      </w:r>
      <w:r>
        <w:rPr>
          <w:rFonts w:hint="eastAsia"/>
          <w:sz w:val="30"/>
          <w:szCs w:val="30"/>
        </w:rPr>
        <w:t>年至</w:t>
      </w:r>
      <w:r>
        <w:rPr>
          <w:rFonts w:hint="eastAsia"/>
          <w:sz w:val="30"/>
          <w:szCs w:val="30"/>
        </w:rPr>
        <w:t>2012</w:t>
      </w:r>
      <w:r>
        <w:rPr>
          <w:rFonts w:hint="eastAsia"/>
          <w:sz w:val="30"/>
          <w:szCs w:val="30"/>
        </w:rPr>
        <w:t>年间，被告人田某在主审原告云浮市英东劳动服务有限公司诉被告中煤深圳公司、开滦（集团）有限责任公司许可执行纠纷二审上诉案；原告云浮市英东劳动服务有限公司诉被告中煤深圳公司、兖矿集团有限公司许可执行纠纷二审上诉案过程中，接受该两案被告开滦（集团）有限责任公司、兖矿集团有限公司的转委托代理律师陶阳希望该案尽快做出有利于被告的终审判决的请托，在该两案审结后，先后三次共收受陶阳贿送的人民币</w:t>
      </w:r>
      <w:r>
        <w:rPr>
          <w:rFonts w:hint="eastAsia"/>
          <w:sz w:val="30"/>
          <w:szCs w:val="30"/>
        </w:rPr>
        <w:t>30</w:t>
      </w:r>
      <w:r>
        <w:rPr>
          <w:rFonts w:hint="eastAsia"/>
          <w:sz w:val="30"/>
          <w:szCs w:val="30"/>
        </w:rPr>
        <w:t>万元。</w:t>
      </w:r>
    </w:p>
    <w:p w:rsidR="00000E93" w:rsidRDefault="00000E93">
      <w:pPr>
        <w:spacing w:line="500" w:lineRule="atLeast"/>
        <w:ind w:firstLine="600"/>
        <w:divId w:val="2005083553"/>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日，被告人田某主动到广州市海珠区人民检察院投案，归案后如实供述了上述罪行。</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日，被告人田某退出赃款人民币</w:t>
      </w:r>
      <w:r>
        <w:rPr>
          <w:rFonts w:hint="eastAsia"/>
          <w:sz w:val="30"/>
          <w:szCs w:val="30"/>
        </w:rPr>
        <w:t>52</w:t>
      </w:r>
      <w:r>
        <w:rPr>
          <w:rFonts w:hint="eastAsia"/>
          <w:sz w:val="30"/>
          <w:szCs w:val="30"/>
        </w:rPr>
        <w:t>万元，暂存广州市海珠区人民法院。</w:t>
      </w:r>
    </w:p>
    <w:p w:rsidR="00000E93" w:rsidRDefault="00000E93">
      <w:pPr>
        <w:spacing w:line="500" w:lineRule="atLeast"/>
        <w:ind w:firstLine="600"/>
        <w:divId w:val="746995148"/>
        <w:rPr>
          <w:rFonts w:hint="eastAsia"/>
          <w:sz w:val="30"/>
          <w:szCs w:val="30"/>
        </w:rPr>
      </w:pPr>
      <w:r>
        <w:rPr>
          <w:rFonts w:hint="eastAsia"/>
          <w:sz w:val="30"/>
          <w:szCs w:val="30"/>
        </w:rPr>
        <w:t>上述事实，被告人田某当庭自愿认罪，且有公诉机关提交并经法庭质证的破案报告，被告人田某的户籍证明、工作证、干部简要情况表，退赃收据，同案人吴广、陶阳的供述，孙爱珍委托吴广律师的委托代理手续、调解申请书、（</w:t>
      </w:r>
      <w:r>
        <w:rPr>
          <w:rFonts w:hint="eastAsia"/>
          <w:sz w:val="30"/>
          <w:szCs w:val="30"/>
        </w:rPr>
        <w:t>2006</w:t>
      </w:r>
      <w:r>
        <w:rPr>
          <w:rFonts w:hint="eastAsia"/>
          <w:sz w:val="30"/>
          <w:szCs w:val="30"/>
        </w:rPr>
        <w:t>）粤高法民二初字第</w:t>
      </w:r>
      <w:r>
        <w:rPr>
          <w:rFonts w:hint="eastAsia"/>
          <w:sz w:val="30"/>
          <w:szCs w:val="30"/>
        </w:rPr>
        <w:t>8</w:t>
      </w:r>
      <w:r>
        <w:rPr>
          <w:rFonts w:hint="eastAsia"/>
          <w:sz w:val="30"/>
          <w:szCs w:val="30"/>
        </w:rPr>
        <w:t>号调解笔录、广州市通百惠服务有限公司解散清算和解协议、（</w:t>
      </w:r>
      <w:r>
        <w:rPr>
          <w:rFonts w:hint="eastAsia"/>
          <w:sz w:val="30"/>
          <w:szCs w:val="30"/>
        </w:rPr>
        <w:t>2006</w:t>
      </w:r>
      <w:r>
        <w:rPr>
          <w:rFonts w:hint="eastAsia"/>
          <w:sz w:val="30"/>
          <w:szCs w:val="30"/>
        </w:rPr>
        <w:t>）粤高法民二初字第</w:t>
      </w:r>
      <w:r>
        <w:rPr>
          <w:rFonts w:hint="eastAsia"/>
          <w:sz w:val="30"/>
          <w:szCs w:val="30"/>
        </w:rPr>
        <w:t>8</w:t>
      </w:r>
      <w:r>
        <w:rPr>
          <w:rFonts w:hint="eastAsia"/>
          <w:sz w:val="30"/>
          <w:szCs w:val="30"/>
        </w:rPr>
        <w:t>号民事判决书（稿）、（</w:t>
      </w:r>
      <w:r>
        <w:rPr>
          <w:rFonts w:hint="eastAsia"/>
          <w:sz w:val="30"/>
          <w:szCs w:val="30"/>
        </w:rPr>
        <w:t>2006</w:t>
      </w:r>
      <w:r>
        <w:rPr>
          <w:rFonts w:hint="eastAsia"/>
          <w:sz w:val="30"/>
          <w:szCs w:val="30"/>
        </w:rPr>
        <w:t>）粤高法民二初字第</w:t>
      </w:r>
      <w:r>
        <w:rPr>
          <w:rFonts w:hint="eastAsia"/>
          <w:sz w:val="30"/>
          <w:szCs w:val="30"/>
        </w:rPr>
        <w:t>8</w:t>
      </w:r>
      <w:r>
        <w:rPr>
          <w:rFonts w:hint="eastAsia"/>
          <w:sz w:val="30"/>
          <w:szCs w:val="30"/>
        </w:rPr>
        <w:t>号民事调解书、（</w:t>
      </w:r>
      <w:r>
        <w:rPr>
          <w:rFonts w:hint="eastAsia"/>
          <w:sz w:val="30"/>
          <w:szCs w:val="30"/>
        </w:rPr>
        <w:t>2006</w:t>
      </w:r>
      <w:r>
        <w:rPr>
          <w:rFonts w:hint="eastAsia"/>
          <w:sz w:val="30"/>
          <w:szCs w:val="30"/>
        </w:rPr>
        <w:t>）粤高法民二初字第</w:t>
      </w:r>
      <w:r>
        <w:rPr>
          <w:rFonts w:hint="eastAsia"/>
          <w:sz w:val="30"/>
          <w:szCs w:val="30"/>
        </w:rPr>
        <w:t>8-1</w:t>
      </w:r>
      <w:r>
        <w:rPr>
          <w:rFonts w:hint="eastAsia"/>
          <w:sz w:val="30"/>
          <w:szCs w:val="30"/>
        </w:rPr>
        <w:t>号民事裁定书、（</w:t>
      </w:r>
      <w:r>
        <w:rPr>
          <w:rFonts w:hint="eastAsia"/>
          <w:sz w:val="30"/>
          <w:szCs w:val="30"/>
        </w:rPr>
        <w:t>2006</w:t>
      </w:r>
      <w:r>
        <w:rPr>
          <w:rFonts w:hint="eastAsia"/>
          <w:sz w:val="30"/>
          <w:szCs w:val="30"/>
        </w:rPr>
        <w:t>）粤高法民二初字第</w:t>
      </w:r>
      <w:r>
        <w:rPr>
          <w:rFonts w:hint="eastAsia"/>
          <w:sz w:val="30"/>
          <w:szCs w:val="30"/>
        </w:rPr>
        <w:t>8-2</w:t>
      </w:r>
      <w:r>
        <w:rPr>
          <w:rFonts w:hint="eastAsia"/>
          <w:sz w:val="30"/>
          <w:szCs w:val="30"/>
        </w:rPr>
        <w:t>号民事裁定书、（</w:t>
      </w:r>
      <w:r>
        <w:rPr>
          <w:rFonts w:hint="eastAsia"/>
          <w:sz w:val="30"/>
          <w:szCs w:val="30"/>
        </w:rPr>
        <w:t>2006</w:t>
      </w:r>
      <w:r>
        <w:rPr>
          <w:rFonts w:hint="eastAsia"/>
          <w:sz w:val="30"/>
          <w:szCs w:val="30"/>
        </w:rPr>
        <w:t>）粤高法民二终字第</w:t>
      </w:r>
      <w:r>
        <w:rPr>
          <w:rFonts w:hint="eastAsia"/>
          <w:sz w:val="30"/>
          <w:szCs w:val="30"/>
        </w:rPr>
        <w:t>161</w:t>
      </w:r>
      <w:r>
        <w:rPr>
          <w:rFonts w:hint="eastAsia"/>
          <w:sz w:val="30"/>
          <w:szCs w:val="30"/>
        </w:rPr>
        <w:t>号民事判决书，开滦（集团）有限责任公司及李存洋、彭利民律师关于转委托代理的声明，兖矿集团有限公司与北京市中瑞律师事务所广州分所及彭利民律师关于转委托代理协议书、（</w:t>
      </w:r>
      <w:r>
        <w:rPr>
          <w:rFonts w:hint="eastAsia"/>
          <w:sz w:val="30"/>
          <w:szCs w:val="30"/>
        </w:rPr>
        <w:t>2007</w:t>
      </w:r>
      <w:r>
        <w:rPr>
          <w:rFonts w:hint="eastAsia"/>
          <w:sz w:val="30"/>
          <w:szCs w:val="30"/>
        </w:rPr>
        <w:t>）肇中法立保字第</w:t>
      </w:r>
      <w:r>
        <w:rPr>
          <w:rFonts w:hint="eastAsia"/>
          <w:sz w:val="30"/>
          <w:szCs w:val="30"/>
        </w:rPr>
        <w:t>21-1</w:t>
      </w:r>
      <w:r>
        <w:rPr>
          <w:rFonts w:hint="eastAsia"/>
          <w:sz w:val="30"/>
          <w:szCs w:val="30"/>
        </w:rPr>
        <w:t>号民事裁定书及查封清单、（</w:t>
      </w:r>
      <w:r>
        <w:rPr>
          <w:rFonts w:hint="eastAsia"/>
          <w:sz w:val="30"/>
          <w:szCs w:val="30"/>
        </w:rPr>
        <w:t>2007</w:t>
      </w:r>
      <w:r>
        <w:rPr>
          <w:rFonts w:hint="eastAsia"/>
          <w:sz w:val="30"/>
          <w:szCs w:val="30"/>
        </w:rPr>
        <w:t>）肇中法民商初字第</w:t>
      </w:r>
      <w:r>
        <w:rPr>
          <w:rFonts w:hint="eastAsia"/>
          <w:sz w:val="30"/>
          <w:szCs w:val="30"/>
        </w:rPr>
        <w:t>102-4</w:t>
      </w:r>
      <w:r>
        <w:rPr>
          <w:rFonts w:hint="eastAsia"/>
          <w:sz w:val="30"/>
          <w:szCs w:val="30"/>
        </w:rPr>
        <w:t>号（驳回立保异议）通知书、第</w:t>
      </w:r>
      <w:r>
        <w:rPr>
          <w:rFonts w:hint="eastAsia"/>
          <w:sz w:val="30"/>
          <w:szCs w:val="30"/>
        </w:rPr>
        <w:t>102</w:t>
      </w:r>
      <w:r>
        <w:rPr>
          <w:rFonts w:hint="eastAsia"/>
          <w:sz w:val="30"/>
          <w:szCs w:val="30"/>
        </w:rPr>
        <w:t>号民事判决书，（</w:t>
      </w:r>
      <w:r>
        <w:rPr>
          <w:rFonts w:hint="eastAsia"/>
          <w:sz w:val="30"/>
          <w:szCs w:val="30"/>
        </w:rPr>
        <w:t>2008</w:t>
      </w:r>
      <w:r>
        <w:rPr>
          <w:rFonts w:hint="eastAsia"/>
          <w:sz w:val="30"/>
          <w:szCs w:val="30"/>
        </w:rPr>
        <w:t>）粤高法民二终字第</w:t>
      </w:r>
      <w:r>
        <w:rPr>
          <w:rFonts w:hint="eastAsia"/>
          <w:sz w:val="30"/>
          <w:szCs w:val="30"/>
        </w:rPr>
        <w:t>127</w:t>
      </w:r>
      <w:r>
        <w:rPr>
          <w:rFonts w:hint="eastAsia"/>
          <w:sz w:val="30"/>
          <w:szCs w:val="30"/>
        </w:rPr>
        <w:t>号民事判决书、（</w:t>
      </w:r>
      <w:r>
        <w:rPr>
          <w:rFonts w:hint="eastAsia"/>
          <w:sz w:val="30"/>
          <w:szCs w:val="30"/>
        </w:rPr>
        <w:t>2009</w:t>
      </w:r>
      <w:r>
        <w:rPr>
          <w:rFonts w:hint="eastAsia"/>
          <w:sz w:val="30"/>
          <w:szCs w:val="30"/>
        </w:rPr>
        <w:t>）肇中法执字第</w:t>
      </w:r>
      <w:r>
        <w:rPr>
          <w:rFonts w:hint="eastAsia"/>
          <w:sz w:val="30"/>
          <w:szCs w:val="30"/>
        </w:rPr>
        <w:t>12</w:t>
      </w:r>
      <w:r>
        <w:rPr>
          <w:rFonts w:hint="eastAsia"/>
          <w:sz w:val="30"/>
          <w:szCs w:val="30"/>
        </w:rPr>
        <w:t>号执行通知书，（</w:t>
      </w:r>
      <w:r>
        <w:rPr>
          <w:rFonts w:hint="eastAsia"/>
          <w:sz w:val="30"/>
          <w:szCs w:val="30"/>
        </w:rPr>
        <w:t>2009</w:t>
      </w:r>
      <w:r>
        <w:rPr>
          <w:rFonts w:hint="eastAsia"/>
          <w:sz w:val="30"/>
          <w:szCs w:val="30"/>
        </w:rPr>
        <w:t>）肇中法执异字第</w:t>
      </w:r>
      <w:r>
        <w:rPr>
          <w:rFonts w:hint="eastAsia"/>
          <w:sz w:val="30"/>
          <w:szCs w:val="30"/>
        </w:rPr>
        <w:t>4</w:t>
      </w:r>
      <w:r>
        <w:rPr>
          <w:rFonts w:hint="eastAsia"/>
          <w:sz w:val="30"/>
          <w:szCs w:val="30"/>
        </w:rPr>
        <w:t>号、</w:t>
      </w:r>
      <w:r>
        <w:rPr>
          <w:rFonts w:hint="eastAsia"/>
          <w:sz w:val="30"/>
          <w:szCs w:val="30"/>
        </w:rPr>
        <w:t>6</w:t>
      </w:r>
      <w:r>
        <w:rPr>
          <w:rFonts w:hint="eastAsia"/>
          <w:sz w:val="30"/>
          <w:szCs w:val="30"/>
        </w:rPr>
        <w:t>号执行异议案件受理通知书、执行裁定书，执行异议书，（</w:t>
      </w:r>
      <w:r>
        <w:rPr>
          <w:rFonts w:hint="eastAsia"/>
          <w:sz w:val="30"/>
          <w:szCs w:val="30"/>
        </w:rPr>
        <w:t>2009</w:t>
      </w:r>
      <w:r>
        <w:rPr>
          <w:rFonts w:hint="eastAsia"/>
          <w:sz w:val="30"/>
          <w:szCs w:val="30"/>
        </w:rPr>
        <w:t>）肇中法执异字第</w:t>
      </w:r>
      <w:r>
        <w:rPr>
          <w:rFonts w:hint="eastAsia"/>
          <w:sz w:val="30"/>
          <w:szCs w:val="30"/>
        </w:rPr>
        <w:t>9</w:t>
      </w:r>
      <w:r>
        <w:rPr>
          <w:rFonts w:hint="eastAsia"/>
          <w:sz w:val="30"/>
          <w:szCs w:val="30"/>
        </w:rPr>
        <w:t>号执行异议案件受理通知书、执行裁定书，（</w:t>
      </w:r>
      <w:r>
        <w:rPr>
          <w:rFonts w:hint="eastAsia"/>
          <w:sz w:val="30"/>
          <w:szCs w:val="30"/>
        </w:rPr>
        <w:t>2010</w:t>
      </w:r>
      <w:r>
        <w:rPr>
          <w:rFonts w:hint="eastAsia"/>
          <w:sz w:val="30"/>
          <w:szCs w:val="30"/>
        </w:rPr>
        <w:t>）粤高法执复字第</w:t>
      </w:r>
      <w:r>
        <w:rPr>
          <w:rFonts w:hint="eastAsia"/>
          <w:sz w:val="30"/>
          <w:szCs w:val="30"/>
        </w:rPr>
        <w:t>39</w:t>
      </w:r>
      <w:r>
        <w:rPr>
          <w:rFonts w:hint="eastAsia"/>
          <w:sz w:val="30"/>
          <w:szCs w:val="30"/>
        </w:rPr>
        <w:t>号受理通知书、执行裁定书，（</w:t>
      </w:r>
      <w:r>
        <w:rPr>
          <w:rFonts w:hint="eastAsia"/>
          <w:sz w:val="30"/>
          <w:szCs w:val="30"/>
        </w:rPr>
        <w:t>2009</w:t>
      </w:r>
      <w:r>
        <w:rPr>
          <w:rFonts w:hint="eastAsia"/>
          <w:sz w:val="30"/>
          <w:szCs w:val="30"/>
        </w:rPr>
        <w:t>）肇中法民商初字第</w:t>
      </w:r>
      <w:r>
        <w:rPr>
          <w:rFonts w:hint="eastAsia"/>
          <w:sz w:val="30"/>
          <w:szCs w:val="30"/>
        </w:rPr>
        <w:t>26</w:t>
      </w:r>
      <w:r>
        <w:rPr>
          <w:rFonts w:hint="eastAsia"/>
          <w:sz w:val="30"/>
          <w:szCs w:val="30"/>
        </w:rPr>
        <w:t>号民事裁定书、（</w:t>
      </w:r>
      <w:r>
        <w:rPr>
          <w:rFonts w:hint="eastAsia"/>
          <w:sz w:val="30"/>
          <w:szCs w:val="30"/>
        </w:rPr>
        <w:t>2009</w:t>
      </w:r>
      <w:r>
        <w:rPr>
          <w:rFonts w:hint="eastAsia"/>
          <w:sz w:val="30"/>
          <w:szCs w:val="30"/>
        </w:rPr>
        <w:t>）肇中法民商初字第</w:t>
      </w:r>
      <w:r>
        <w:rPr>
          <w:rFonts w:hint="eastAsia"/>
          <w:sz w:val="30"/>
          <w:szCs w:val="30"/>
        </w:rPr>
        <w:t>25</w:t>
      </w:r>
      <w:r>
        <w:rPr>
          <w:rFonts w:hint="eastAsia"/>
          <w:sz w:val="30"/>
          <w:szCs w:val="30"/>
        </w:rPr>
        <w:t>号、</w:t>
      </w:r>
      <w:r>
        <w:rPr>
          <w:rFonts w:hint="eastAsia"/>
          <w:sz w:val="30"/>
          <w:szCs w:val="30"/>
        </w:rPr>
        <w:t>26</w:t>
      </w:r>
      <w:r>
        <w:rPr>
          <w:rFonts w:hint="eastAsia"/>
          <w:sz w:val="30"/>
          <w:szCs w:val="30"/>
        </w:rPr>
        <w:t>号民事判决书，（</w:t>
      </w:r>
      <w:r>
        <w:rPr>
          <w:rFonts w:hint="eastAsia"/>
          <w:sz w:val="30"/>
          <w:szCs w:val="30"/>
        </w:rPr>
        <w:t>2011</w:t>
      </w:r>
      <w:r>
        <w:rPr>
          <w:rFonts w:hint="eastAsia"/>
          <w:sz w:val="30"/>
          <w:szCs w:val="30"/>
        </w:rPr>
        <w:t>）粤高法</w:t>
      </w:r>
      <w:r>
        <w:rPr>
          <w:rFonts w:hint="eastAsia"/>
          <w:sz w:val="30"/>
          <w:szCs w:val="30"/>
        </w:rPr>
        <w:t>民一终字第</w:t>
      </w:r>
      <w:r>
        <w:rPr>
          <w:rFonts w:hint="eastAsia"/>
          <w:sz w:val="30"/>
          <w:szCs w:val="30"/>
        </w:rPr>
        <w:t>52</w:t>
      </w:r>
      <w:r>
        <w:rPr>
          <w:rFonts w:hint="eastAsia"/>
          <w:sz w:val="30"/>
          <w:szCs w:val="30"/>
        </w:rPr>
        <w:t>号、</w:t>
      </w:r>
      <w:r>
        <w:rPr>
          <w:rFonts w:hint="eastAsia"/>
          <w:sz w:val="30"/>
          <w:szCs w:val="30"/>
        </w:rPr>
        <w:t>53</w:t>
      </w:r>
      <w:r>
        <w:rPr>
          <w:rFonts w:hint="eastAsia"/>
          <w:sz w:val="30"/>
          <w:szCs w:val="30"/>
        </w:rPr>
        <w:t>号民事判决书，（</w:t>
      </w:r>
      <w:r>
        <w:rPr>
          <w:rFonts w:hint="eastAsia"/>
          <w:sz w:val="30"/>
          <w:szCs w:val="30"/>
        </w:rPr>
        <w:t>2009</w:t>
      </w:r>
      <w:r>
        <w:rPr>
          <w:rFonts w:hint="eastAsia"/>
          <w:sz w:val="30"/>
          <w:szCs w:val="30"/>
        </w:rPr>
        <w:t>）肇中法执字第</w:t>
      </w:r>
      <w:r>
        <w:rPr>
          <w:rFonts w:hint="eastAsia"/>
          <w:sz w:val="30"/>
          <w:szCs w:val="30"/>
        </w:rPr>
        <w:t>12-10</w:t>
      </w:r>
      <w:r>
        <w:rPr>
          <w:rFonts w:hint="eastAsia"/>
          <w:sz w:val="30"/>
          <w:szCs w:val="30"/>
        </w:rPr>
        <w:t>号执行裁定书等证据证实，足以认定。</w:t>
      </w:r>
    </w:p>
    <w:p w:rsidR="00000E93" w:rsidRDefault="00000E93">
      <w:pPr>
        <w:spacing w:line="500" w:lineRule="atLeast"/>
        <w:ind w:firstLine="600"/>
        <w:divId w:val="1576747218"/>
        <w:rPr>
          <w:rFonts w:hint="eastAsia"/>
          <w:sz w:val="30"/>
          <w:szCs w:val="30"/>
        </w:rPr>
      </w:pPr>
      <w:r>
        <w:rPr>
          <w:rFonts w:hint="eastAsia"/>
          <w:sz w:val="30"/>
          <w:szCs w:val="30"/>
        </w:rPr>
        <w:t>本院认为，被告人田某无视国家法律，身为国家工作人员，利用职务上的便利，收受他人财物，数额巨大，为他人谋取利益，其行为已构成受贿罪，依法应予惩处。犯罪分子违法所得的一切财物，应当予以追缴。被告人田某犯罪以后自动投案，如实供述自己的罪行，有自首情节，可以减轻处罚。被告人田某归案后退出全部赃款，可以酌情从轻处罚。公诉机关指控被告人田某犯受贿罪的事实清楚，证据确实、充分，罪名成立，本院予以支持。对于被告人田某辩称，在审理行贿人请托案件过程中，均依法审理，没有滥用职权、枉法裁判的辩护意见，经查属实，予以采纳；对于被告人田某辩称，没有索贿情节的辩护意见，经查公诉机关并没有指控索贿情节，且行贿人也没有明确指证被告人田某有索贿情节，该点辩护意见，经查属实，予以采纳；对于被告人田某辩称，均于行贿人请托案件审结后才收受贿赂的辩护意见，经查，被告人田某收受行贿人陶阳请托的三件案的贿赂款均在案件审结后，但据被告人田某、吴广在检察机关的供述，被告人田某收受行贿人吴广请托的原告佛山市南海区官窑农村信用合作社诉被告南海市达兴塑料机械有限公司借款合同纠纷二审上诉案贿赂款</w:t>
      </w:r>
      <w:r>
        <w:rPr>
          <w:rFonts w:hint="eastAsia"/>
          <w:sz w:val="30"/>
          <w:szCs w:val="30"/>
        </w:rPr>
        <w:t>20</w:t>
      </w:r>
      <w:r>
        <w:rPr>
          <w:rFonts w:hint="eastAsia"/>
          <w:sz w:val="30"/>
          <w:szCs w:val="30"/>
        </w:rPr>
        <w:t>万元当中的</w:t>
      </w:r>
      <w:r>
        <w:rPr>
          <w:rFonts w:hint="eastAsia"/>
          <w:sz w:val="30"/>
          <w:szCs w:val="30"/>
        </w:rPr>
        <w:t>10</w:t>
      </w:r>
      <w:r>
        <w:rPr>
          <w:rFonts w:hint="eastAsia"/>
          <w:sz w:val="30"/>
          <w:szCs w:val="30"/>
        </w:rPr>
        <w:t>万元，系在该案审理过程中收受，被告人田某的该点辩护意见，部分予以采纳。对于辩护人辩称，被告人田某有自首情节、悔罪表现，积极退赃的辩护意见，经查属实，予以采纳。依照《中华人民共和国刑法》第三百八十五条第一款、第三百八十六条、第三百八十三第一款第（二）项、第六十七条第一款、第六十四条、《最高人民法院、最高人民检察院关于办理贪污贿赂刑事案件适用法律若干问题的解释》第二条第一款、第十五条第一款、第十九条第一款及最高人民法院、最高人民检察院《关于办理职务犯罪案件认定自首、立功等量刑情节若干问题的意见》第四条之规定，判决如下：</w:t>
      </w:r>
    </w:p>
    <w:p w:rsidR="00000E93" w:rsidRDefault="00000E93">
      <w:pPr>
        <w:spacing w:line="500" w:lineRule="atLeast"/>
        <w:ind w:firstLine="600"/>
        <w:divId w:val="1114642213"/>
        <w:rPr>
          <w:rFonts w:hint="eastAsia"/>
          <w:sz w:val="30"/>
          <w:szCs w:val="30"/>
        </w:rPr>
      </w:pPr>
      <w:r>
        <w:rPr>
          <w:rFonts w:hint="eastAsia"/>
          <w:sz w:val="30"/>
          <w:szCs w:val="30"/>
        </w:rPr>
        <w:t>一、被告人田某犯受贿罪，判处有期徒刑二年，并处罚金人民币十万元。</w:t>
      </w:r>
    </w:p>
    <w:p w:rsidR="00000E93" w:rsidRDefault="00000E93">
      <w:pPr>
        <w:spacing w:line="500" w:lineRule="atLeast"/>
        <w:ind w:firstLine="600"/>
        <w:divId w:val="179401084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日止。罚金已缴纳）。</w:t>
      </w:r>
    </w:p>
    <w:p w:rsidR="00000E93" w:rsidRDefault="00000E93">
      <w:pPr>
        <w:spacing w:line="500" w:lineRule="atLeast"/>
        <w:ind w:firstLine="600"/>
        <w:divId w:val="112940102"/>
        <w:rPr>
          <w:rFonts w:hint="eastAsia"/>
          <w:sz w:val="30"/>
          <w:szCs w:val="30"/>
        </w:rPr>
      </w:pPr>
      <w:r>
        <w:rPr>
          <w:rFonts w:hint="eastAsia"/>
          <w:sz w:val="30"/>
          <w:szCs w:val="30"/>
        </w:rPr>
        <w:t>二、被告人田某退缴的犯罪所得人民币</w:t>
      </w:r>
      <w:r>
        <w:rPr>
          <w:rFonts w:hint="eastAsia"/>
          <w:sz w:val="30"/>
          <w:szCs w:val="30"/>
        </w:rPr>
        <w:t>52</w:t>
      </w:r>
      <w:r>
        <w:rPr>
          <w:rFonts w:hint="eastAsia"/>
          <w:sz w:val="30"/>
          <w:szCs w:val="30"/>
        </w:rPr>
        <w:t>万元，依法予以没收，由广州市海珠区人民法院上缴国库。</w:t>
      </w:r>
    </w:p>
    <w:p w:rsidR="00000E93" w:rsidRDefault="00000E93">
      <w:pPr>
        <w:spacing w:line="500" w:lineRule="atLeast"/>
        <w:ind w:firstLine="600"/>
        <w:divId w:val="861667827"/>
        <w:rPr>
          <w:rFonts w:hint="eastAsia"/>
          <w:sz w:val="30"/>
          <w:szCs w:val="30"/>
        </w:rPr>
      </w:pPr>
      <w:r>
        <w:rPr>
          <w:rFonts w:hint="eastAsia"/>
          <w:sz w:val="30"/>
          <w:szCs w:val="30"/>
        </w:rPr>
        <w:t>如不服本判决，可在接到判决书的第二日起十日内，通过本院或者直接向广东省中山市中级人民法院提出上诉。书面上诉的，应当提交上诉状正本一份，副本二份。</w:t>
      </w:r>
    </w:p>
    <w:p w:rsidR="00000E93" w:rsidRDefault="00000E93">
      <w:pPr>
        <w:spacing w:line="500" w:lineRule="atLeast"/>
        <w:jc w:val="right"/>
        <w:divId w:val="1052533727"/>
        <w:rPr>
          <w:rFonts w:hint="eastAsia"/>
          <w:sz w:val="30"/>
          <w:szCs w:val="30"/>
        </w:rPr>
      </w:pPr>
      <w:r>
        <w:rPr>
          <w:rFonts w:hint="eastAsia"/>
          <w:sz w:val="30"/>
          <w:szCs w:val="30"/>
        </w:rPr>
        <w:t>审判长　　姜国卫</w:t>
      </w:r>
    </w:p>
    <w:p w:rsidR="00000E93" w:rsidRDefault="00000E93">
      <w:pPr>
        <w:spacing w:line="500" w:lineRule="atLeast"/>
        <w:jc w:val="right"/>
        <w:divId w:val="107628068"/>
        <w:rPr>
          <w:rFonts w:hint="eastAsia"/>
          <w:sz w:val="30"/>
          <w:szCs w:val="30"/>
        </w:rPr>
      </w:pPr>
      <w:r>
        <w:rPr>
          <w:rFonts w:hint="eastAsia"/>
          <w:sz w:val="30"/>
          <w:szCs w:val="30"/>
        </w:rPr>
        <w:t>审判员　　施斌斌</w:t>
      </w:r>
    </w:p>
    <w:p w:rsidR="00000E93" w:rsidRDefault="00000E93">
      <w:pPr>
        <w:spacing w:line="500" w:lineRule="atLeast"/>
        <w:jc w:val="right"/>
        <w:divId w:val="1933929785"/>
        <w:rPr>
          <w:rFonts w:hint="eastAsia"/>
          <w:sz w:val="30"/>
          <w:szCs w:val="30"/>
        </w:rPr>
      </w:pPr>
      <w:r>
        <w:rPr>
          <w:rFonts w:hint="eastAsia"/>
          <w:sz w:val="30"/>
          <w:szCs w:val="30"/>
        </w:rPr>
        <w:t>审判员　　龚　凌</w:t>
      </w:r>
    </w:p>
    <w:p w:rsidR="00000E93" w:rsidRDefault="00000E93">
      <w:pPr>
        <w:spacing w:line="500" w:lineRule="atLeast"/>
        <w:jc w:val="right"/>
        <w:divId w:val="1283729400"/>
        <w:rPr>
          <w:rFonts w:hint="eastAsia"/>
          <w:sz w:val="30"/>
          <w:szCs w:val="30"/>
        </w:rPr>
      </w:pPr>
      <w:r>
        <w:rPr>
          <w:rFonts w:hint="eastAsia"/>
          <w:sz w:val="30"/>
          <w:szCs w:val="30"/>
        </w:rPr>
        <w:t>二〇一六年十月九日</w:t>
      </w:r>
    </w:p>
    <w:p w:rsidR="00000E93" w:rsidRDefault="00000E93">
      <w:pPr>
        <w:spacing w:line="500" w:lineRule="atLeast"/>
        <w:jc w:val="right"/>
        <w:divId w:val="1762137664"/>
        <w:rPr>
          <w:rFonts w:hint="eastAsia"/>
          <w:sz w:val="30"/>
          <w:szCs w:val="30"/>
        </w:rPr>
      </w:pPr>
      <w:r>
        <w:rPr>
          <w:rFonts w:hint="eastAsia"/>
          <w:sz w:val="30"/>
          <w:szCs w:val="30"/>
        </w:rPr>
        <w:t>书记员　　梁嘉玲</w:t>
      </w:r>
    </w:p>
    <w:p w:rsidR="00000E93" w:rsidRDefault="00000E93">
      <w:pPr>
        <w:spacing w:line="500" w:lineRule="atLeast"/>
        <w:ind w:firstLine="600"/>
        <w:divId w:val="287441620"/>
        <w:rPr>
          <w:rFonts w:hint="eastAsia"/>
          <w:sz w:val="30"/>
          <w:szCs w:val="30"/>
        </w:rPr>
      </w:pPr>
      <w:r>
        <w:rPr>
          <w:rFonts w:hint="eastAsia"/>
          <w:sz w:val="30"/>
          <w:szCs w:val="30"/>
        </w:rPr>
        <w:t>吴蕊蕊</w:t>
      </w:r>
    </w:p>
    <w:p w:rsidR="00000E93" w:rsidRDefault="00000E93">
      <w:pPr>
        <w:spacing w:line="500" w:lineRule="atLeast"/>
        <w:ind w:firstLine="600"/>
        <w:divId w:val="215707486"/>
        <w:rPr>
          <w:rFonts w:hint="eastAsia"/>
          <w:sz w:val="30"/>
          <w:szCs w:val="30"/>
        </w:rPr>
      </w:pPr>
      <w:r>
        <w:rPr>
          <w:rFonts w:hint="eastAsia"/>
          <w:sz w:val="30"/>
          <w:szCs w:val="30"/>
        </w:rPr>
        <w:t>第</w:t>
      </w:r>
      <w:r>
        <w:rPr>
          <w:rFonts w:hint="eastAsia"/>
          <w:sz w:val="30"/>
          <w:szCs w:val="30"/>
        </w:rPr>
        <w:t>7</w:t>
      </w:r>
      <w:r>
        <w:rPr>
          <w:rFonts w:hint="eastAsia"/>
          <w:sz w:val="30"/>
          <w:szCs w:val="30"/>
        </w:rPr>
        <w:t>页共</w:t>
      </w:r>
      <w:r>
        <w:rPr>
          <w:rFonts w:hint="eastAsia"/>
          <w:sz w:val="30"/>
          <w:szCs w:val="30"/>
        </w:rPr>
        <w:t>7</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00E93" w:rsidRDefault="00000E93" w:rsidP="00000E93">
      <w:pPr>
        <w:rPr>
          <w:rFonts w:hint="eastAsia"/>
        </w:rPr>
      </w:pPr>
      <w:r>
        <w:separator/>
      </w:r>
    </w:p>
  </w:endnote>
  <w:endnote w:type="continuationSeparator" w:id="0">
    <w:p w:rsidR="00000E93" w:rsidRDefault="00000E93" w:rsidP="00000E9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00E93" w:rsidRDefault="00000E93" w:rsidP="00000E93">
      <w:pPr>
        <w:rPr>
          <w:rFonts w:hint="eastAsia"/>
        </w:rPr>
      </w:pPr>
      <w:r>
        <w:separator/>
      </w:r>
    </w:p>
  </w:footnote>
  <w:footnote w:type="continuationSeparator" w:id="0">
    <w:p w:rsidR="00000E93" w:rsidRDefault="00000E93" w:rsidP="00000E9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00E93"/>
    <w:rsid w:val="00000E93"/>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00E93"/>
    <w:pPr>
      <w:tabs>
        <w:tab w:val="center" w:pos="4153"/>
        <w:tab w:val="right" w:pos="8306"/>
      </w:tabs>
      <w:snapToGrid w:val="0"/>
      <w:jc w:val="center"/>
    </w:pPr>
    <w:rPr>
      <w:sz w:val="18"/>
      <w:szCs w:val="18"/>
    </w:rPr>
  </w:style>
  <w:style w:type="character" w:customStyle="1" w:styleId="a4">
    <w:name w:val="页眉 字符"/>
    <w:basedOn w:val="a0"/>
    <w:link w:val="a3"/>
    <w:uiPriority w:val="99"/>
    <w:rsid w:val="00000E93"/>
    <w:rPr>
      <w:rFonts w:ascii="宋体" w:eastAsia="宋体" w:hAnsi="宋体" w:cs="宋体"/>
      <w:sz w:val="18"/>
      <w:szCs w:val="18"/>
    </w:rPr>
  </w:style>
  <w:style w:type="paragraph" w:styleId="a5">
    <w:name w:val="footer"/>
    <w:basedOn w:val="a"/>
    <w:link w:val="a6"/>
    <w:uiPriority w:val="99"/>
    <w:unhideWhenUsed/>
    <w:rsid w:val="00000E93"/>
    <w:pPr>
      <w:tabs>
        <w:tab w:val="center" w:pos="4153"/>
        <w:tab w:val="right" w:pos="8306"/>
      </w:tabs>
      <w:snapToGrid w:val="0"/>
    </w:pPr>
    <w:rPr>
      <w:sz w:val="18"/>
      <w:szCs w:val="18"/>
    </w:rPr>
  </w:style>
  <w:style w:type="character" w:customStyle="1" w:styleId="a6">
    <w:name w:val="页脚 字符"/>
    <w:basedOn w:val="a0"/>
    <w:link w:val="a5"/>
    <w:uiPriority w:val="99"/>
    <w:rsid w:val="00000E9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73898">
      <w:marLeft w:val="0"/>
      <w:marRight w:val="0"/>
      <w:marTop w:val="10"/>
      <w:marBottom w:val="10"/>
      <w:divBdr>
        <w:top w:val="none" w:sz="0" w:space="0" w:color="auto"/>
        <w:left w:val="none" w:sz="0" w:space="0" w:color="auto"/>
        <w:bottom w:val="none" w:sz="0" w:space="0" w:color="auto"/>
        <w:right w:val="none" w:sz="0" w:space="0" w:color="auto"/>
      </w:divBdr>
    </w:div>
    <w:div w:id="80103365">
      <w:marLeft w:val="0"/>
      <w:marRight w:val="0"/>
      <w:marTop w:val="10"/>
      <w:marBottom w:val="10"/>
      <w:divBdr>
        <w:top w:val="none" w:sz="0" w:space="0" w:color="auto"/>
        <w:left w:val="none" w:sz="0" w:space="0" w:color="auto"/>
        <w:bottom w:val="none" w:sz="0" w:space="0" w:color="auto"/>
        <w:right w:val="none" w:sz="0" w:space="0" w:color="auto"/>
      </w:divBdr>
    </w:div>
    <w:div w:id="107628068">
      <w:marLeft w:val="0"/>
      <w:marRight w:val="720"/>
      <w:marTop w:val="10"/>
      <w:marBottom w:val="10"/>
      <w:divBdr>
        <w:top w:val="none" w:sz="0" w:space="0" w:color="auto"/>
        <w:left w:val="none" w:sz="0" w:space="0" w:color="auto"/>
        <w:bottom w:val="none" w:sz="0" w:space="0" w:color="auto"/>
        <w:right w:val="none" w:sz="0" w:space="0" w:color="auto"/>
      </w:divBdr>
    </w:div>
    <w:div w:id="112940102">
      <w:marLeft w:val="0"/>
      <w:marRight w:val="0"/>
      <w:marTop w:val="10"/>
      <w:marBottom w:val="10"/>
      <w:divBdr>
        <w:top w:val="none" w:sz="0" w:space="0" w:color="auto"/>
        <w:left w:val="none" w:sz="0" w:space="0" w:color="auto"/>
        <w:bottom w:val="none" w:sz="0" w:space="0" w:color="auto"/>
        <w:right w:val="none" w:sz="0" w:space="0" w:color="auto"/>
      </w:divBdr>
    </w:div>
    <w:div w:id="215707486">
      <w:marLeft w:val="0"/>
      <w:marRight w:val="0"/>
      <w:marTop w:val="10"/>
      <w:marBottom w:val="10"/>
      <w:divBdr>
        <w:top w:val="none" w:sz="0" w:space="0" w:color="auto"/>
        <w:left w:val="none" w:sz="0" w:space="0" w:color="auto"/>
        <w:bottom w:val="none" w:sz="0" w:space="0" w:color="auto"/>
        <w:right w:val="none" w:sz="0" w:space="0" w:color="auto"/>
      </w:divBdr>
    </w:div>
    <w:div w:id="217055429">
      <w:marLeft w:val="0"/>
      <w:marRight w:val="0"/>
      <w:marTop w:val="10"/>
      <w:marBottom w:val="10"/>
      <w:divBdr>
        <w:top w:val="none" w:sz="0" w:space="0" w:color="auto"/>
        <w:left w:val="none" w:sz="0" w:space="0" w:color="auto"/>
        <w:bottom w:val="none" w:sz="0" w:space="0" w:color="auto"/>
        <w:right w:val="none" w:sz="0" w:space="0" w:color="auto"/>
      </w:divBdr>
    </w:div>
    <w:div w:id="287441620">
      <w:marLeft w:val="0"/>
      <w:marRight w:val="0"/>
      <w:marTop w:val="10"/>
      <w:marBottom w:val="10"/>
      <w:divBdr>
        <w:top w:val="none" w:sz="0" w:space="0" w:color="auto"/>
        <w:left w:val="none" w:sz="0" w:space="0" w:color="auto"/>
        <w:bottom w:val="none" w:sz="0" w:space="0" w:color="auto"/>
        <w:right w:val="none" w:sz="0" w:space="0" w:color="auto"/>
      </w:divBdr>
    </w:div>
    <w:div w:id="588661798">
      <w:marLeft w:val="0"/>
      <w:marRight w:val="0"/>
      <w:marTop w:val="10"/>
      <w:marBottom w:val="10"/>
      <w:divBdr>
        <w:top w:val="none" w:sz="0" w:space="0" w:color="auto"/>
        <w:left w:val="none" w:sz="0" w:space="0" w:color="auto"/>
        <w:bottom w:val="none" w:sz="0" w:space="0" w:color="auto"/>
        <w:right w:val="none" w:sz="0" w:space="0" w:color="auto"/>
      </w:divBdr>
    </w:div>
    <w:div w:id="671566132">
      <w:marLeft w:val="0"/>
      <w:marRight w:val="0"/>
      <w:marTop w:val="10"/>
      <w:marBottom w:val="10"/>
      <w:divBdr>
        <w:top w:val="none" w:sz="0" w:space="0" w:color="auto"/>
        <w:left w:val="none" w:sz="0" w:space="0" w:color="auto"/>
        <w:bottom w:val="none" w:sz="0" w:space="0" w:color="auto"/>
        <w:right w:val="none" w:sz="0" w:space="0" w:color="auto"/>
      </w:divBdr>
    </w:div>
    <w:div w:id="746995148">
      <w:marLeft w:val="0"/>
      <w:marRight w:val="0"/>
      <w:marTop w:val="10"/>
      <w:marBottom w:val="10"/>
      <w:divBdr>
        <w:top w:val="none" w:sz="0" w:space="0" w:color="auto"/>
        <w:left w:val="none" w:sz="0" w:space="0" w:color="auto"/>
        <w:bottom w:val="none" w:sz="0" w:space="0" w:color="auto"/>
        <w:right w:val="none" w:sz="0" w:space="0" w:color="auto"/>
      </w:divBdr>
    </w:div>
    <w:div w:id="762606878">
      <w:marLeft w:val="0"/>
      <w:marRight w:val="0"/>
      <w:marTop w:val="10"/>
      <w:marBottom w:val="10"/>
      <w:divBdr>
        <w:top w:val="none" w:sz="0" w:space="0" w:color="auto"/>
        <w:left w:val="none" w:sz="0" w:space="0" w:color="auto"/>
        <w:bottom w:val="none" w:sz="0" w:space="0" w:color="auto"/>
        <w:right w:val="none" w:sz="0" w:space="0" w:color="auto"/>
      </w:divBdr>
    </w:div>
    <w:div w:id="811674140">
      <w:marLeft w:val="0"/>
      <w:marRight w:val="0"/>
      <w:marTop w:val="10"/>
      <w:marBottom w:val="10"/>
      <w:divBdr>
        <w:top w:val="none" w:sz="0" w:space="0" w:color="auto"/>
        <w:left w:val="none" w:sz="0" w:space="0" w:color="auto"/>
        <w:bottom w:val="none" w:sz="0" w:space="0" w:color="auto"/>
        <w:right w:val="none" w:sz="0" w:space="0" w:color="auto"/>
      </w:divBdr>
    </w:div>
    <w:div w:id="861667827">
      <w:marLeft w:val="0"/>
      <w:marRight w:val="0"/>
      <w:marTop w:val="10"/>
      <w:marBottom w:val="10"/>
      <w:divBdr>
        <w:top w:val="none" w:sz="0" w:space="0" w:color="auto"/>
        <w:left w:val="none" w:sz="0" w:space="0" w:color="auto"/>
        <w:bottom w:val="none" w:sz="0" w:space="0" w:color="auto"/>
        <w:right w:val="none" w:sz="0" w:space="0" w:color="auto"/>
      </w:divBdr>
    </w:div>
    <w:div w:id="932543754">
      <w:marLeft w:val="0"/>
      <w:marRight w:val="0"/>
      <w:marTop w:val="10"/>
      <w:marBottom w:val="10"/>
      <w:divBdr>
        <w:top w:val="none" w:sz="0" w:space="0" w:color="auto"/>
        <w:left w:val="none" w:sz="0" w:space="0" w:color="auto"/>
        <w:bottom w:val="none" w:sz="0" w:space="0" w:color="auto"/>
        <w:right w:val="none" w:sz="0" w:space="0" w:color="auto"/>
      </w:divBdr>
    </w:div>
    <w:div w:id="1052533727">
      <w:marLeft w:val="0"/>
      <w:marRight w:val="720"/>
      <w:marTop w:val="10"/>
      <w:marBottom w:val="10"/>
      <w:divBdr>
        <w:top w:val="none" w:sz="0" w:space="0" w:color="auto"/>
        <w:left w:val="none" w:sz="0" w:space="0" w:color="auto"/>
        <w:bottom w:val="none" w:sz="0" w:space="0" w:color="auto"/>
        <w:right w:val="none" w:sz="0" w:space="0" w:color="auto"/>
      </w:divBdr>
    </w:div>
    <w:div w:id="1091512081">
      <w:marLeft w:val="0"/>
      <w:marRight w:val="0"/>
      <w:marTop w:val="10"/>
      <w:marBottom w:val="10"/>
      <w:divBdr>
        <w:top w:val="none" w:sz="0" w:space="0" w:color="auto"/>
        <w:left w:val="none" w:sz="0" w:space="0" w:color="auto"/>
        <w:bottom w:val="none" w:sz="0" w:space="0" w:color="auto"/>
        <w:right w:val="none" w:sz="0" w:space="0" w:color="auto"/>
      </w:divBdr>
    </w:div>
    <w:div w:id="1095974440">
      <w:marLeft w:val="0"/>
      <w:marRight w:val="0"/>
      <w:marTop w:val="10"/>
      <w:marBottom w:val="10"/>
      <w:divBdr>
        <w:top w:val="none" w:sz="0" w:space="0" w:color="auto"/>
        <w:left w:val="none" w:sz="0" w:space="0" w:color="auto"/>
        <w:bottom w:val="none" w:sz="0" w:space="0" w:color="auto"/>
        <w:right w:val="none" w:sz="0" w:space="0" w:color="auto"/>
      </w:divBdr>
    </w:div>
    <w:div w:id="1114642213">
      <w:marLeft w:val="0"/>
      <w:marRight w:val="0"/>
      <w:marTop w:val="10"/>
      <w:marBottom w:val="10"/>
      <w:divBdr>
        <w:top w:val="none" w:sz="0" w:space="0" w:color="auto"/>
        <w:left w:val="none" w:sz="0" w:space="0" w:color="auto"/>
        <w:bottom w:val="none" w:sz="0" w:space="0" w:color="auto"/>
        <w:right w:val="none" w:sz="0" w:space="0" w:color="auto"/>
      </w:divBdr>
    </w:div>
    <w:div w:id="1283729400">
      <w:marLeft w:val="0"/>
      <w:marRight w:val="720"/>
      <w:marTop w:val="10"/>
      <w:marBottom w:val="10"/>
      <w:divBdr>
        <w:top w:val="none" w:sz="0" w:space="0" w:color="auto"/>
        <w:left w:val="none" w:sz="0" w:space="0" w:color="auto"/>
        <w:bottom w:val="none" w:sz="0" w:space="0" w:color="auto"/>
        <w:right w:val="none" w:sz="0" w:space="0" w:color="auto"/>
      </w:divBdr>
    </w:div>
    <w:div w:id="1331910356">
      <w:marLeft w:val="0"/>
      <w:marRight w:val="0"/>
      <w:marTop w:val="10"/>
      <w:marBottom w:val="10"/>
      <w:divBdr>
        <w:top w:val="none" w:sz="0" w:space="0" w:color="auto"/>
        <w:left w:val="none" w:sz="0" w:space="0" w:color="auto"/>
        <w:bottom w:val="none" w:sz="0" w:space="0" w:color="auto"/>
        <w:right w:val="none" w:sz="0" w:space="0" w:color="auto"/>
      </w:divBdr>
    </w:div>
    <w:div w:id="1576747218">
      <w:marLeft w:val="0"/>
      <w:marRight w:val="0"/>
      <w:marTop w:val="10"/>
      <w:marBottom w:val="10"/>
      <w:divBdr>
        <w:top w:val="none" w:sz="0" w:space="0" w:color="auto"/>
        <w:left w:val="none" w:sz="0" w:space="0" w:color="auto"/>
        <w:bottom w:val="none" w:sz="0" w:space="0" w:color="auto"/>
        <w:right w:val="none" w:sz="0" w:space="0" w:color="auto"/>
      </w:divBdr>
    </w:div>
    <w:div w:id="1762137664">
      <w:marLeft w:val="0"/>
      <w:marRight w:val="720"/>
      <w:marTop w:val="10"/>
      <w:marBottom w:val="10"/>
      <w:divBdr>
        <w:top w:val="none" w:sz="0" w:space="0" w:color="auto"/>
        <w:left w:val="none" w:sz="0" w:space="0" w:color="auto"/>
        <w:bottom w:val="none" w:sz="0" w:space="0" w:color="auto"/>
        <w:right w:val="none" w:sz="0" w:space="0" w:color="auto"/>
      </w:divBdr>
    </w:div>
    <w:div w:id="1794010844">
      <w:marLeft w:val="0"/>
      <w:marRight w:val="0"/>
      <w:marTop w:val="10"/>
      <w:marBottom w:val="10"/>
      <w:divBdr>
        <w:top w:val="none" w:sz="0" w:space="0" w:color="auto"/>
        <w:left w:val="none" w:sz="0" w:space="0" w:color="auto"/>
        <w:bottom w:val="none" w:sz="0" w:space="0" w:color="auto"/>
        <w:right w:val="none" w:sz="0" w:space="0" w:color="auto"/>
      </w:divBdr>
    </w:div>
    <w:div w:id="1824807164">
      <w:marLeft w:val="0"/>
      <w:marRight w:val="0"/>
      <w:marTop w:val="10"/>
      <w:marBottom w:val="10"/>
      <w:divBdr>
        <w:top w:val="none" w:sz="0" w:space="0" w:color="auto"/>
        <w:left w:val="none" w:sz="0" w:space="0" w:color="auto"/>
        <w:bottom w:val="none" w:sz="0" w:space="0" w:color="auto"/>
        <w:right w:val="none" w:sz="0" w:space="0" w:color="auto"/>
      </w:divBdr>
    </w:div>
    <w:div w:id="1861775991">
      <w:marLeft w:val="0"/>
      <w:marRight w:val="0"/>
      <w:marTop w:val="10"/>
      <w:marBottom w:val="10"/>
      <w:divBdr>
        <w:top w:val="none" w:sz="0" w:space="0" w:color="auto"/>
        <w:left w:val="none" w:sz="0" w:space="0" w:color="auto"/>
        <w:bottom w:val="none" w:sz="0" w:space="0" w:color="auto"/>
        <w:right w:val="none" w:sz="0" w:space="0" w:color="auto"/>
      </w:divBdr>
    </w:div>
    <w:div w:id="1933929785">
      <w:marLeft w:val="0"/>
      <w:marRight w:val="720"/>
      <w:marTop w:val="10"/>
      <w:marBottom w:val="10"/>
      <w:divBdr>
        <w:top w:val="none" w:sz="0" w:space="0" w:color="auto"/>
        <w:left w:val="none" w:sz="0" w:space="0" w:color="auto"/>
        <w:bottom w:val="none" w:sz="0" w:space="0" w:color="auto"/>
        <w:right w:val="none" w:sz="0" w:space="0" w:color="auto"/>
      </w:divBdr>
    </w:div>
    <w:div w:id="2005083553">
      <w:marLeft w:val="0"/>
      <w:marRight w:val="0"/>
      <w:marTop w:val="10"/>
      <w:marBottom w:val="10"/>
      <w:divBdr>
        <w:top w:val="none" w:sz="0" w:space="0" w:color="auto"/>
        <w:left w:val="none" w:sz="0" w:space="0" w:color="auto"/>
        <w:bottom w:val="none" w:sz="0" w:space="0" w:color="auto"/>
        <w:right w:val="none" w:sz="0" w:space="0" w:color="auto"/>
      </w:divBdr>
    </w:div>
    <w:div w:id="2086800553">
      <w:marLeft w:val="0"/>
      <w:marRight w:val="0"/>
      <w:marTop w:val="10"/>
      <w:marBottom w:val="10"/>
      <w:divBdr>
        <w:top w:val="none" w:sz="0" w:space="0" w:color="auto"/>
        <w:left w:val="none" w:sz="0" w:space="0" w:color="auto"/>
        <w:bottom w:val="none" w:sz="0" w:space="0" w:color="auto"/>
        <w:right w:val="none" w:sz="0" w:space="0" w:color="auto"/>
      </w:divBdr>
    </w:div>
    <w:div w:id="2117630423">
      <w:marLeft w:val="0"/>
      <w:marRight w:val="0"/>
      <w:marTop w:val="10"/>
      <w:marBottom w:val="10"/>
      <w:divBdr>
        <w:top w:val="none" w:sz="0" w:space="0" w:color="auto"/>
        <w:left w:val="none" w:sz="0" w:space="0" w:color="auto"/>
        <w:bottom w:val="none" w:sz="0" w:space="0" w:color="auto"/>
        <w:right w:val="none" w:sz="0" w:space="0" w:color="auto"/>
      </w:divBdr>
    </w:div>
    <w:div w:id="212684502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528</Words>
  <Characters>3014</Characters>
  <Application>Microsoft Office Word</Application>
  <DocSecurity>0</DocSecurity>
  <Lines>25</Lines>
  <Paragraphs>7</Paragraphs>
  <ScaleCrop>false</ScaleCrop>
  <Company/>
  <LinksUpToDate>false</LinksUpToDate>
  <CharactersWithSpaces>3535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