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787C" w:rsidRDefault="00EB787C">
      <w:pPr>
        <w:spacing w:line="500" w:lineRule="atLeast"/>
        <w:jc w:val="center"/>
        <w:divId w:val="861283629"/>
        <w:rPr>
          <w:rFonts w:ascii="黑体" w:eastAsia="黑体" w:hAnsi="黑体"/>
          <w:sz w:val="36"/>
          <w:szCs w:val="36"/>
        </w:rPr>
      </w:pPr>
      <w:r>
        <w:rPr>
          <w:rFonts w:ascii="黑体" w:eastAsia="黑体" w:hAnsi="黑体" w:hint="eastAsia"/>
          <w:sz w:val="36"/>
          <w:szCs w:val="36"/>
        </w:rPr>
        <w:t>广东省汕头市龙湖区人民法院</w:t>
      </w:r>
    </w:p>
    <w:p w:rsidR="00EB787C" w:rsidRDefault="00EB787C">
      <w:pPr>
        <w:spacing w:line="500" w:lineRule="atLeast"/>
        <w:jc w:val="center"/>
        <w:divId w:val="10736255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787C" w:rsidRDefault="00EB787C">
      <w:pPr>
        <w:spacing w:line="500" w:lineRule="atLeast"/>
        <w:jc w:val="right"/>
        <w:divId w:val="1305626842"/>
        <w:rPr>
          <w:rFonts w:hint="eastAsia"/>
          <w:sz w:val="30"/>
          <w:szCs w:val="30"/>
        </w:rPr>
      </w:pPr>
      <w:r>
        <w:rPr>
          <w:rFonts w:hint="eastAsia"/>
          <w:sz w:val="30"/>
          <w:szCs w:val="30"/>
        </w:rPr>
        <w:t>（</w:t>
      </w:r>
      <w:r>
        <w:rPr>
          <w:rFonts w:hint="eastAsia"/>
          <w:sz w:val="30"/>
          <w:szCs w:val="30"/>
        </w:rPr>
        <w:t>2014</w:t>
      </w:r>
      <w:r>
        <w:rPr>
          <w:rFonts w:hint="eastAsia"/>
          <w:sz w:val="30"/>
          <w:szCs w:val="30"/>
        </w:rPr>
        <w:t>）汕龙法刑初字第</w:t>
      </w:r>
      <w:r>
        <w:rPr>
          <w:rFonts w:hint="eastAsia"/>
          <w:sz w:val="30"/>
          <w:szCs w:val="30"/>
        </w:rPr>
        <w:t>450</w:t>
      </w:r>
      <w:r>
        <w:rPr>
          <w:rFonts w:hint="eastAsia"/>
          <w:sz w:val="30"/>
          <w:szCs w:val="30"/>
        </w:rPr>
        <w:t>号</w:t>
      </w:r>
    </w:p>
    <w:p w:rsidR="00EB787C" w:rsidRDefault="00EB787C">
      <w:pPr>
        <w:spacing w:line="500" w:lineRule="atLeast"/>
        <w:ind w:firstLine="600"/>
        <w:divId w:val="1779793263"/>
        <w:rPr>
          <w:rFonts w:hint="eastAsia"/>
          <w:sz w:val="30"/>
          <w:szCs w:val="30"/>
        </w:rPr>
      </w:pPr>
      <w:r>
        <w:rPr>
          <w:rFonts w:hint="eastAsia"/>
          <w:sz w:val="30"/>
          <w:szCs w:val="30"/>
        </w:rPr>
        <w:t>公诉机关广东省汕头市龙湖区人民检察院。</w:t>
      </w:r>
    </w:p>
    <w:p w:rsidR="00EB787C" w:rsidRDefault="00EB787C">
      <w:pPr>
        <w:spacing w:line="500" w:lineRule="atLeast"/>
        <w:ind w:firstLine="600"/>
        <w:divId w:val="727800075"/>
        <w:rPr>
          <w:rFonts w:hint="eastAsia"/>
          <w:sz w:val="30"/>
          <w:szCs w:val="30"/>
        </w:rPr>
      </w:pPr>
      <w:r>
        <w:rPr>
          <w:rFonts w:hint="eastAsia"/>
          <w:sz w:val="30"/>
          <w:szCs w:val="30"/>
        </w:rPr>
        <w:t>被告人石皓宇（曾用名石磊），男，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日出生，汉族，湖北省武昌县人，大专文化程度，原任中海油广东销售有限公司开发工程部经理。因本案于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22</w:t>
      </w:r>
      <w:r>
        <w:rPr>
          <w:rFonts w:hint="eastAsia"/>
          <w:sz w:val="30"/>
          <w:szCs w:val="30"/>
        </w:rPr>
        <w:t>日被逮捕。现羁押于广东省汕头市澄海区看守所。</w:t>
      </w:r>
    </w:p>
    <w:p w:rsidR="00EB787C" w:rsidRDefault="00EB787C">
      <w:pPr>
        <w:spacing w:line="500" w:lineRule="atLeast"/>
        <w:ind w:firstLine="600"/>
        <w:divId w:val="778141372"/>
        <w:rPr>
          <w:rFonts w:hint="eastAsia"/>
          <w:sz w:val="30"/>
          <w:szCs w:val="30"/>
        </w:rPr>
      </w:pPr>
      <w:r>
        <w:rPr>
          <w:rFonts w:hint="eastAsia"/>
          <w:sz w:val="30"/>
          <w:szCs w:val="30"/>
        </w:rPr>
        <w:t>辩护人林致学，广东金唐律师事务所律师。</w:t>
      </w:r>
    </w:p>
    <w:p w:rsidR="00EB787C" w:rsidRDefault="00EB787C">
      <w:pPr>
        <w:spacing w:line="500" w:lineRule="atLeast"/>
        <w:ind w:firstLine="600"/>
        <w:divId w:val="785927925"/>
        <w:rPr>
          <w:rFonts w:hint="eastAsia"/>
          <w:sz w:val="30"/>
          <w:szCs w:val="30"/>
        </w:rPr>
      </w:pPr>
      <w:r>
        <w:rPr>
          <w:rFonts w:hint="eastAsia"/>
          <w:sz w:val="30"/>
          <w:szCs w:val="30"/>
        </w:rPr>
        <w:t>广东省汕头市龙湖区人民检察院以汕龙检诉刑诉（</w:t>
      </w:r>
      <w:r>
        <w:rPr>
          <w:rFonts w:hint="eastAsia"/>
          <w:sz w:val="30"/>
          <w:szCs w:val="30"/>
        </w:rPr>
        <w:t>2014</w:t>
      </w:r>
      <w:r>
        <w:rPr>
          <w:rFonts w:hint="eastAsia"/>
          <w:sz w:val="30"/>
          <w:szCs w:val="30"/>
        </w:rPr>
        <w:t>）</w:t>
      </w:r>
      <w:r>
        <w:rPr>
          <w:rFonts w:hint="eastAsia"/>
          <w:sz w:val="30"/>
          <w:szCs w:val="30"/>
        </w:rPr>
        <w:t>459</w:t>
      </w:r>
      <w:r>
        <w:rPr>
          <w:rFonts w:hint="eastAsia"/>
          <w:sz w:val="30"/>
          <w:szCs w:val="30"/>
        </w:rPr>
        <w:t>号起诉书指控被告人石皓宇犯受贿罪，于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日向本院提起公诉。本院依法组成合议庭，适用简易程序，公开开庭审理了本案。广东省汕头市龙湖区人民检察院检察员黄丹霞、被告人石皓宇及其辩护人林致学到庭参加诉讼。现已审理终结。</w:t>
      </w:r>
    </w:p>
    <w:p w:rsidR="00EB787C" w:rsidRDefault="00EB787C">
      <w:pPr>
        <w:spacing w:line="500" w:lineRule="atLeast"/>
        <w:divId w:val="455561449"/>
        <w:rPr>
          <w:rFonts w:hint="eastAsia"/>
          <w:sz w:val="30"/>
          <w:szCs w:val="30"/>
        </w:rPr>
      </w:pPr>
      <w:r>
        <w:rPr>
          <w:rFonts w:hint="eastAsia"/>
          <w:sz w:val="30"/>
          <w:szCs w:val="30"/>
        </w:rPr>
        <w:t>经审理查明：</w:t>
      </w:r>
    </w:p>
    <w:p w:rsidR="00EB787C" w:rsidRDefault="00EB787C">
      <w:pPr>
        <w:spacing w:line="500" w:lineRule="atLeast"/>
        <w:ind w:firstLine="600"/>
        <w:divId w:val="711078303"/>
        <w:rPr>
          <w:rFonts w:hint="eastAsia"/>
          <w:sz w:val="30"/>
          <w:szCs w:val="30"/>
        </w:rPr>
      </w:pPr>
      <w:r>
        <w:rPr>
          <w:rFonts w:hint="eastAsia"/>
          <w:sz w:val="30"/>
          <w:szCs w:val="30"/>
        </w:rPr>
        <w:t>中海油广东销售公司直属中海油销售分公司，中海油销售分公司直属中国海洋石油总公司，均为国有企业。被告人石皓宇担任中海油广东销售有限公司开发工程部经理期间，负责中海油在广东地区拓展加油站租赁、收购等业务的审核工作。</w:t>
      </w:r>
    </w:p>
    <w:p w:rsidR="00EB787C" w:rsidRDefault="00EB787C">
      <w:pPr>
        <w:spacing w:line="500" w:lineRule="atLeast"/>
        <w:ind w:firstLine="600"/>
        <w:divId w:val="651720435"/>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潮州市桥东安利加油站、潮安县东凤大巷兴达加油站、汕头市潮南区金嘉源加油站、汕头市澄海区隆都大鹏加油站、丰顺县留隍镇东洋加油站、饶平县联饶嘉惠加油站在同案人陈某某、陈某（均另案处理）的介绍下成功被中海油广东销售有限公司租赁或收购。在介绍有关加油站被租赁或收购过程中，同案人陈某某、陈某收受上述</w:t>
      </w:r>
      <w:r>
        <w:rPr>
          <w:rFonts w:hint="eastAsia"/>
          <w:sz w:val="30"/>
          <w:szCs w:val="30"/>
        </w:rPr>
        <w:t>6</w:t>
      </w:r>
      <w:r>
        <w:rPr>
          <w:rFonts w:hint="eastAsia"/>
          <w:sz w:val="30"/>
          <w:szCs w:val="30"/>
        </w:rPr>
        <w:t>家</w:t>
      </w:r>
      <w:r>
        <w:rPr>
          <w:rFonts w:hint="eastAsia"/>
          <w:sz w:val="30"/>
          <w:szCs w:val="30"/>
        </w:rPr>
        <w:lastRenderedPageBreak/>
        <w:t>加油站好处费共计人民币</w:t>
      </w:r>
      <w:r>
        <w:rPr>
          <w:rFonts w:hint="eastAsia"/>
          <w:sz w:val="30"/>
          <w:szCs w:val="30"/>
        </w:rPr>
        <w:t>386</w:t>
      </w:r>
      <w:r>
        <w:rPr>
          <w:rFonts w:hint="eastAsia"/>
          <w:sz w:val="30"/>
          <w:szCs w:val="30"/>
        </w:rPr>
        <w:t>万元。同案人陈某在拿到上述加油站好处费后，于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月间，分多次送给负责上述加油站租赁或收购业务审核工作的被告人石皓宇好处费共计人民币</w:t>
      </w:r>
      <w:r>
        <w:rPr>
          <w:rFonts w:hint="eastAsia"/>
          <w:sz w:val="30"/>
          <w:szCs w:val="30"/>
        </w:rPr>
        <w:t>74</w:t>
      </w:r>
      <w:r>
        <w:rPr>
          <w:rFonts w:hint="eastAsia"/>
          <w:sz w:val="30"/>
          <w:szCs w:val="30"/>
        </w:rPr>
        <w:t>万元，其中以转账方式送给被告人石皓宇人民币</w:t>
      </w:r>
      <w:r>
        <w:rPr>
          <w:rFonts w:hint="eastAsia"/>
          <w:sz w:val="30"/>
          <w:szCs w:val="30"/>
        </w:rPr>
        <w:t>59</w:t>
      </w:r>
      <w:r>
        <w:rPr>
          <w:rFonts w:hint="eastAsia"/>
          <w:sz w:val="30"/>
          <w:szCs w:val="30"/>
        </w:rPr>
        <w:t>万元，另外现金人民币</w:t>
      </w:r>
      <w:r>
        <w:rPr>
          <w:rFonts w:hint="eastAsia"/>
          <w:sz w:val="30"/>
          <w:szCs w:val="30"/>
        </w:rPr>
        <w:t>15</w:t>
      </w:r>
      <w:r>
        <w:rPr>
          <w:rFonts w:hint="eastAsia"/>
          <w:sz w:val="30"/>
          <w:szCs w:val="30"/>
        </w:rPr>
        <w:t>万元由同案人陈某在汕头市龙湖区金海湾大酒店、汕头花园宾馆分二次拿给被告人石皓宇。经查，上述人民币</w:t>
      </w:r>
      <w:r>
        <w:rPr>
          <w:rFonts w:hint="eastAsia"/>
          <w:sz w:val="30"/>
          <w:szCs w:val="30"/>
        </w:rPr>
        <w:t>74</w:t>
      </w:r>
      <w:r>
        <w:rPr>
          <w:rFonts w:hint="eastAsia"/>
          <w:sz w:val="30"/>
          <w:szCs w:val="30"/>
        </w:rPr>
        <w:t>万元被被告人石皓宇用于其日常消费。</w:t>
      </w:r>
    </w:p>
    <w:p w:rsidR="00EB787C" w:rsidRDefault="00EB787C">
      <w:pPr>
        <w:spacing w:line="500" w:lineRule="atLeast"/>
        <w:ind w:firstLine="600"/>
        <w:divId w:val="214696836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日，被告人石皓宇在被侦查机关采取强制措施前能主动交代上述犯罪事实。案发后，被告人石皓宇主动退清收取的全部赃款。</w:t>
      </w:r>
    </w:p>
    <w:p w:rsidR="00EB787C" w:rsidRDefault="00EB787C">
      <w:pPr>
        <w:spacing w:line="500" w:lineRule="atLeast"/>
        <w:ind w:firstLine="600"/>
        <w:divId w:val="1455518578"/>
        <w:rPr>
          <w:rFonts w:hint="eastAsia"/>
          <w:sz w:val="30"/>
          <w:szCs w:val="30"/>
        </w:rPr>
      </w:pPr>
      <w:r>
        <w:rPr>
          <w:rFonts w:hint="eastAsia"/>
          <w:sz w:val="30"/>
          <w:szCs w:val="30"/>
        </w:rPr>
        <w:t>上述事实，被告人石皓宇在开庭审理过程中亦无异议，且有同案人陈某某、陈某的供述及辨认；证人朱某某、张某某、陈某某、陈某甲、张某乙、赖某某、赖某甲、廖某某、林某某、金某某、蔡某某、李某某的证言及辨认；干部履历表及相关任职说明材料；中海油广东销售有限公司相关请示文件、合同审批表及批复文件；相关银行交易记录清单；涉案加油站营业执照、税务登记证、组织机构代码证、租赁项目资料、租赁经营合同、转让协议及相关收款收据；临时住宿登记表；侦查机关扣押物品清单；侦查机关发破案经过；公安机关户籍证明；被告人石皓宇的供述及辨认等证据证实，足以认定。</w:t>
      </w:r>
    </w:p>
    <w:p w:rsidR="00EB787C" w:rsidRDefault="00EB787C">
      <w:pPr>
        <w:spacing w:line="500" w:lineRule="atLeast"/>
        <w:ind w:firstLine="600"/>
        <w:divId w:val="2087192217"/>
        <w:rPr>
          <w:rFonts w:hint="eastAsia"/>
          <w:sz w:val="30"/>
          <w:szCs w:val="30"/>
        </w:rPr>
      </w:pPr>
      <w:r>
        <w:rPr>
          <w:rFonts w:hint="eastAsia"/>
          <w:sz w:val="30"/>
          <w:szCs w:val="30"/>
        </w:rPr>
        <w:t>本院认为，被告人石皓宇身为国有企业工作人员，利用职务上的便利，非法收受他人财物共计人民币</w:t>
      </w:r>
      <w:r>
        <w:rPr>
          <w:rFonts w:hint="eastAsia"/>
          <w:sz w:val="30"/>
          <w:szCs w:val="30"/>
        </w:rPr>
        <w:t>74</w:t>
      </w:r>
      <w:r>
        <w:rPr>
          <w:rFonts w:hint="eastAsia"/>
          <w:sz w:val="30"/>
          <w:szCs w:val="30"/>
        </w:rPr>
        <w:t>万元，为他人谋取利益，其行为已触犯刑律，构成受贿罪。公诉机关指控被告人石皓宇犯受贿罪的罪名成立。鉴于被告人石皓宇是初犯，且在尚未被侦查机关宣布采取强制措施前主动如实供述自己的罪行，是自首，依法可以减轻处罚；其主动退还全部赃款，可以酌定从轻处罚。</w:t>
      </w:r>
    </w:p>
    <w:p w:rsidR="00EB787C" w:rsidRDefault="00EB787C">
      <w:pPr>
        <w:spacing w:line="500" w:lineRule="atLeast"/>
        <w:ind w:firstLine="600"/>
        <w:divId w:val="376206111"/>
        <w:rPr>
          <w:rFonts w:hint="eastAsia"/>
          <w:sz w:val="30"/>
          <w:szCs w:val="30"/>
        </w:rPr>
      </w:pPr>
      <w:r>
        <w:rPr>
          <w:rFonts w:hint="eastAsia"/>
          <w:sz w:val="30"/>
          <w:szCs w:val="30"/>
        </w:rPr>
        <w:t>被告人石皓宇的辩护人提出如下辩护意见：</w:t>
      </w:r>
      <w:r>
        <w:rPr>
          <w:rFonts w:hint="eastAsia"/>
          <w:sz w:val="30"/>
          <w:szCs w:val="30"/>
        </w:rPr>
        <w:t>1.</w:t>
      </w:r>
      <w:r>
        <w:rPr>
          <w:rFonts w:hint="eastAsia"/>
          <w:sz w:val="30"/>
          <w:szCs w:val="30"/>
        </w:rPr>
        <w:t>被告人石皓宇具有自首情节，依法可以从轻处罚；</w:t>
      </w:r>
      <w:r>
        <w:rPr>
          <w:rFonts w:hint="eastAsia"/>
          <w:sz w:val="30"/>
          <w:szCs w:val="30"/>
        </w:rPr>
        <w:t>2.</w:t>
      </w:r>
      <w:r>
        <w:rPr>
          <w:rFonts w:hint="eastAsia"/>
          <w:sz w:val="30"/>
          <w:szCs w:val="30"/>
        </w:rPr>
        <w:t>被告人石皓宇是初犯，且已通过家属积极退赃；</w:t>
      </w:r>
      <w:r>
        <w:rPr>
          <w:rFonts w:hint="eastAsia"/>
          <w:sz w:val="30"/>
          <w:szCs w:val="30"/>
        </w:rPr>
        <w:t>3.</w:t>
      </w:r>
      <w:r>
        <w:rPr>
          <w:rFonts w:hint="eastAsia"/>
          <w:sz w:val="30"/>
          <w:szCs w:val="30"/>
        </w:rPr>
        <w:t>被告人石皓宇归案后如实供述，很好地促进本案的侦破；</w:t>
      </w:r>
      <w:r>
        <w:rPr>
          <w:rFonts w:hint="eastAsia"/>
          <w:sz w:val="30"/>
          <w:szCs w:val="30"/>
        </w:rPr>
        <w:t>4.</w:t>
      </w:r>
      <w:r>
        <w:rPr>
          <w:rFonts w:hint="eastAsia"/>
          <w:sz w:val="30"/>
          <w:szCs w:val="30"/>
        </w:rPr>
        <w:t>被告人石皓宇的母亲长期身体不好，其所得的赃款大部分用于支付母亲的医药费，故本案的社会危害性相对于其他挥霍型受贿案件的社会危害性较小。综上情节，建议法庭对被告人石皓宇从轻或减轻处罚。经查，辩护人提出的第</w:t>
      </w:r>
      <w:r>
        <w:rPr>
          <w:rFonts w:hint="eastAsia"/>
          <w:sz w:val="30"/>
          <w:szCs w:val="30"/>
        </w:rPr>
        <w:t>4</w:t>
      </w:r>
      <w:r>
        <w:rPr>
          <w:rFonts w:hint="eastAsia"/>
          <w:sz w:val="30"/>
          <w:szCs w:val="30"/>
        </w:rPr>
        <w:t>项辩护意见缺乏相关证据证实，也不符合相关法律规定，本院不予采纳；辩护人的其余辩护意见，有事实及法律依据部分，本院予以采纳。</w:t>
      </w:r>
    </w:p>
    <w:p w:rsidR="00EB787C" w:rsidRDefault="00EB787C">
      <w:pPr>
        <w:spacing w:line="500" w:lineRule="atLeast"/>
        <w:ind w:firstLine="600"/>
        <w:divId w:val="439952908"/>
        <w:rPr>
          <w:rFonts w:hint="eastAsia"/>
          <w:sz w:val="30"/>
          <w:szCs w:val="30"/>
        </w:rPr>
      </w:pPr>
      <w:r>
        <w:rPr>
          <w:rFonts w:hint="eastAsia"/>
          <w:sz w:val="30"/>
          <w:szCs w:val="30"/>
        </w:rPr>
        <w:t>综上，本院根据被告人石皓宇犯罪的事实、犯罪的性质、情节、认罪悔罪表现及其行为对社会的危害程度，依照《中华人民共和国刑法》第九十三条、第三百八十五条第一款、第三百八十六条、第三百八十三条第一款第（一）项、第六十四条、第六十七条第一款和《最高人民法院关于处理自首和立功具体应用法律若干问题的解释》第一条、第三条的规定，判决如下：</w:t>
      </w:r>
    </w:p>
    <w:p w:rsidR="00EB787C" w:rsidRDefault="00EB787C">
      <w:pPr>
        <w:spacing w:line="500" w:lineRule="atLeast"/>
        <w:ind w:firstLine="600"/>
        <w:divId w:val="527329734"/>
        <w:rPr>
          <w:rFonts w:hint="eastAsia"/>
          <w:sz w:val="30"/>
          <w:szCs w:val="30"/>
        </w:rPr>
      </w:pPr>
      <w:r>
        <w:rPr>
          <w:rFonts w:hint="eastAsia"/>
          <w:sz w:val="30"/>
          <w:szCs w:val="30"/>
        </w:rPr>
        <w:t>一、被告人石皓宇犯受贿罪，判处有期徒刑六年，并处没收财产人民币五万元。</w:t>
      </w:r>
    </w:p>
    <w:p w:rsidR="00EB787C" w:rsidRDefault="00EB787C">
      <w:pPr>
        <w:spacing w:line="500" w:lineRule="atLeast"/>
        <w:ind w:firstLine="600"/>
        <w:divId w:val="19431011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w:t>
      </w:r>
    </w:p>
    <w:p w:rsidR="00EB787C" w:rsidRDefault="00EB787C">
      <w:pPr>
        <w:spacing w:line="500" w:lineRule="atLeast"/>
        <w:ind w:firstLine="600"/>
        <w:divId w:val="224490206"/>
        <w:rPr>
          <w:rFonts w:hint="eastAsia"/>
          <w:sz w:val="30"/>
          <w:szCs w:val="30"/>
        </w:rPr>
      </w:pPr>
      <w:r>
        <w:rPr>
          <w:rFonts w:hint="eastAsia"/>
          <w:sz w:val="30"/>
          <w:szCs w:val="30"/>
        </w:rPr>
        <w:t>二、侦查机关扣押被告人石皓宇退缴的赃款人民币七十四万元，予以没收，上缴国库。</w:t>
      </w:r>
    </w:p>
    <w:p w:rsidR="00EB787C" w:rsidRDefault="00EB787C">
      <w:pPr>
        <w:spacing w:line="500" w:lineRule="atLeast"/>
        <w:ind w:firstLine="600"/>
        <w:divId w:val="161717707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rsidR="00EB787C" w:rsidRDefault="00EB787C">
      <w:pPr>
        <w:spacing w:line="500" w:lineRule="atLeast"/>
        <w:jc w:val="right"/>
        <w:divId w:val="243951711"/>
        <w:rPr>
          <w:rFonts w:hint="eastAsia"/>
          <w:sz w:val="30"/>
          <w:szCs w:val="30"/>
        </w:rPr>
      </w:pPr>
      <w:r>
        <w:rPr>
          <w:rFonts w:hint="eastAsia"/>
          <w:sz w:val="30"/>
          <w:szCs w:val="30"/>
        </w:rPr>
        <w:t>审　判　长　蔡　荣</w:t>
      </w:r>
    </w:p>
    <w:p w:rsidR="00EB787C" w:rsidRDefault="00EB787C">
      <w:pPr>
        <w:spacing w:line="500" w:lineRule="atLeast"/>
        <w:jc w:val="right"/>
        <w:divId w:val="647520366"/>
        <w:rPr>
          <w:rFonts w:hint="eastAsia"/>
          <w:sz w:val="30"/>
          <w:szCs w:val="30"/>
        </w:rPr>
      </w:pPr>
      <w:r>
        <w:rPr>
          <w:rFonts w:hint="eastAsia"/>
          <w:sz w:val="30"/>
          <w:szCs w:val="30"/>
        </w:rPr>
        <w:t>代理审判员　纪　冰</w:t>
      </w:r>
    </w:p>
    <w:p w:rsidR="00EB787C" w:rsidRDefault="00EB787C">
      <w:pPr>
        <w:spacing w:line="500" w:lineRule="atLeast"/>
        <w:jc w:val="right"/>
        <w:divId w:val="1854761417"/>
        <w:rPr>
          <w:rFonts w:hint="eastAsia"/>
          <w:sz w:val="30"/>
          <w:szCs w:val="30"/>
        </w:rPr>
      </w:pPr>
      <w:r>
        <w:rPr>
          <w:rFonts w:hint="eastAsia"/>
          <w:sz w:val="30"/>
          <w:szCs w:val="30"/>
        </w:rPr>
        <w:t>人民陪审员　周家祥</w:t>
      </w:r>
    </w:p>
    <w:p w:rsidR="00EB787C" w:rsidRDefault="00EB787C">
      <w:pPr>
        <w:spacing w:line="500" w:lineRule="atLeast"/>
        <w:jc w:val="right"/>
        <w:divId w:val="1914241779"/>
        <w:rPr>
          <w:rFonts w:hint="eastAsia"/>
          <w:sz w:val="30"/>
          <w:szCs w:val="30"/>
        </w:rPr>
      </w:pPr>
      <w:r>
        <w:rPr>
          <w:rFonts w:hint="eastAsia"/>
          <w:sz w:val="30"/>
          <w:szCs w:val="30"/>
        </w:rPr>
        <w:t>二〇一四年十月二十日</w:t>
      </w:r>
    </w:p>
    <w:p w:rsidR="00EB787C" w:rsidRDefault="00EB787C">
      <w:pPr>
        <w:spacing w:line="500" w:lineRule="atLeast"/>
        <w:jc w:val="right"/>
        <w:divId w:val="1038971193"/>
        <w:rPr>
          <w:rFonts w:hint="eastAsia"/>
          <w:sz w:val="30"/>
          <w:szCs w:val="30"/>
        </w:rPr>
      </w:pPr>
      <w:r>
        <w:rPr>
          <w:rFonts w:hint="eastAsia"/>
          <w:sz w:val="30"/>
          <w:szCs w:val="30"/>
        </w:rPr>
        <w:t>书　记　员　刘洁婷</w:t>
      </w:r>
    </w:p>
    <w:p w:rsidR="00EB787C" w:rsidRDefault="00EB787C">
      <w:pPr>
        <w:spacing w:line="500" w:lineRule="atLeast"/>
        <w:ind w:firstLine="600"/>
        <w:divId w:val="1107191570"/>
        <w:rPr>
          <w:rFonts w:hint="eastAsia"/>
          <w:sz w:val="30"/>
          <w:szCs w:val="30"/>
        </w:rPr>
      </w:pPr>
      <w:r>
        <w:rPr>
          <w:rFonts w:hint="eastAsia"/>
          <w:sz w:val="30"/>
          <w:szCs w:val="30"/>
        </w:rPr>
        <w:t>附件</w:t>
      </w:r>
    </w:p>
    <w:p w:rsidR="00EB787C" w:rsidRDefault="00EB787C">
      <w:pPr>
        <w:spacing w:line="500" w:lineRule="atLeast"/>
        <w:ind w:firstLine="600"/>
        <w:divId w:val="1092749017"/>
        <w:rPr>
          <w:rFonts w:hint="eastAsia"/>
          <w:sz w:val="30"/>
          <w:szCs w:val="30"/>
        </w:rPr>
      </w:pPr>
      <w:r>
        <w:rPr>
          <w:rFonts w:hint="eastAsia"/>
          <w:sz w:val="30"/>
          <w:szCs w:val="30"/>
        </w:rPr>
        <w:t>相关法律条文</w:t>
      </w:r>
    </w:p>
    <w:p w:rsidR="00EB787C" w:rsidRDefault="00EB787C">
      <w:pPr>
        <w:spacing w:line="500" w:lineRule="atLeast"/>
        <w:ind w:firstLine="600"/>
        <w:divId w:val="1008406335"/>
        <w:rPr>
          <w:rFonts w:hint="eastAsia"/>
          <w:sz w:val="30"/>
          <w:szCs w:val="30"/>
        </w:rPr>
      </w:pPr>
      <w:r>
        <w:rPr>
          <w:rFonts w:hint="eastAsia"/>
          <w:sz w:val="30"/>
          <w:szCs w:val="30"/>
        </w:rPr>
        <w:t>《中华人民共和国刑法》</w:t>
      </w:r>
    </w:p>
    <w:p w:rsidR="00EB787C" w:rsidRDefault="00EB787C">
      <w:pPr>
        <w:spacing w:line="500" w:lineRule="atLeast"/>
        <w:ind w:firstLine="600"/>
        <w:divId w:val="16247274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B787C" w:rsidRDefault="00EB787C">
      <w:pPr>
        <w:spacing w:line="500" w:lineRule="atLeast"/>
        <w:ind w:firstLine="600"/>
        <w:divId w:val="6425419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B787C" w:rsidRDefault="00EB787C">
      <w:pPr>
        <w:spacing w:line="500" w:lineRule="atLeast"/>
        <w:ind w:firstLine="600"/>
        <w:divId w:val="3016142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B787C" w:rsidRDefault="00EB787C">
      <w:pPr>
        <w:spacing w:line="500" w:lineRule="atLeast"/>
        <w:ind w:firstLine="600"/>
        <w:divId w:val="7232586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B787C" w:rsidRDefault="00EB787C">
      <w:pPr>
        <w:spacing w:line="500" w:lineRule="atLeast"/>
        <w:ind w:firstLine="600"/>
        <w:divId w:val="292638648"/>
        <w:rPr>
          <w:rFonts w:hint="eastAsia"/>
          <w:sz w:val="30"/>
          <w:szCs w:val="30"/>
        </w:rPr>
      </w:pPr>
      <w:r>
        <w:rPr>
          <w:rFonts w:hint="eastAsia"/>
          <w:sz w:val="30"/>
          <w:szCs w:val="30"/>
        </w:rPr>
        <w:t>第九十三条本法所称国家工作人员，是指国家机关中从事公务的人员。</w:t>
      </w:r>
    </w:p>
    <w:p w:rsidR="00EB787C" w:rsidRDefault="00EB787C">
      <w:pPr>
        <w:spacing w:line="500" w:lineRule="atLeast"/>
        <w:ind w:firstLine="600"/>
        <w:divId w:val="173507773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B787C" w:rsidRDefault="00EB787C">
      <w:pPr>
        <w:spacing w:line="500" w:lineRule="atLeast"/>
        <w:ind w:firstLine="600"/>
        <w:divId w:val="1211461462"/>
        <w:rPr>
          <w:rFonts w:hint="eastAsia"/>
          <w:sz w:val="30"/>
          <w:szCs w:val="30"/>
        </w:rPr>
      </w:pPr>
      <w:r>
        <w:rPr>
          <w:rFonts w:hint="eastAsia"/>
          <w:sz w:val="30"/>
          <w:szCs w:val="30"/>
        </w:rPr>
        <w:t>第三百八十三条对犯贪污罪的，根据情节轻重，分别依照下列规定处罚：</w:t>
      </w:r>
    </w:p>
    <w:p w:rsidR="00EB787C" w:rsidRDefault="00EB787C">
      <w:pPr>
        <w:spacing w:line="500" w:lineRule="atLeast"/>
        <w:ind w:firstLine="600"/>
        <w:divId w:val="134277487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B787C" w:rsidRDefault="00EB787C">
      <w:pPr>
        <w:spacing w:line="500" w:lineRule="atLeast"/>
        <w:ind w:firstLine="600"/>
        <w:divId w:val="173913204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B787C" w:rsidRDefault="00EB787C">
      <w:pPr>
        <w:spacing w:line="500" w:lineRule="atLeast"/>
        <w:ind w:firstLine="600"/>
        <w:divId w:val="177825624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B787C" w:rsidRDefault="00EB787C">
      <w:pPr>
        <w:spacing w:line="500" w:lineRule="atLeast"/>
        <w:ind w:firstLine="600"/>
        <w:divId w:val="213721609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B787C" w:rsidRDefault="00EB787C">
      <w:pPr>
        <w:spacing w:line="500" w:lineRule="atLeast"/>
        <w:ind w:firstLine="600"/>
        <w:divId w:val="1576474294"/>
        <w:rPr>
          <w:rFonts w:hint="eastAsia"/>
          <w:sz w:val="30"/>
          <w:szCs w:val="30"/>
        </w:rPr>
      </w:pPr>
      <w:r>
        <w:rPr>
          <w:rFonts w:hint="eastAsia"/>
          <w:sz w:val="30"/>
          <w:szCs w:val="30"/>
        </w:rPr>
        <w:t>对多次贪污未经处理的，按照累计贪污数额处罚。</w:t>
      </w:r>
    </w:p>
    <w:p w:rsidR="00EB787C" w:rsidRDefault="00EB787C">
      <w:pPr>
        <w:spacing w:line="500" w:lineRule="atLeast"/>
        <w:ind w:firstLine="600"/>
        <w:divId w:val="11782309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B787C" w:rsidRDefault="00EB787C">
      <w:pPr>
        <w:spacing w:line="500" w:lineRule="atLeast"/>
        <w:ind w:firstLine="600"/>
        <w:divId w:val="813372841"/>
        <w:rPr>
          <w:rFonts w:hint="eastAsia"/>
          <w:sz w:val="30"/>
          <w:szCs w:val="30"/>
        </w:rPr>
      </w:pPr>
      <w:r>
        <w:rPr>
          <w:rFonts w:hint="eastAsia"/>
          <w:sz w:val="30"/>
          <w:szCs w:val="30"/>
        </w:rPr>
        <w:t>国家工作人员在经济往来中，违反国家规定，收受各种名义的回扣、手续费，归个人所有的，以受贿论处。</w:t>
      </w:r>
    </w:p>
    <w:p w:rsidR="00EB787C" w:rsidRDefault="00EB787C">
      <w:pPr>
        <w:spacing w:line="500" w:lineRule="atLeast"/>
        <w:ind w:firstLine="600"/>
        <w:divId w:val="1345632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B787C" w:rsidRDefault="00EB787C">
      <w:pPr>
        <w:spacing w:line="500" w:lineRule="atLeast"/>
        <w:ind w:firstLine="600"/>
        <w:divId w:val="145050056"/>
        <w:rPr>
          <w:rFonts w:hint="eastAsia"/>
          <w:sz w:val="30"/>
          <w:szCs w:val="30"/>
        </w:rPr>
      </w:pPr>
      <w:r>
        <w:rPr>
          <w:rFonts w:hint="eastAsia"/>
          <w:sz w:val="30"/>
          <w:szCs w:val="30"/>
        </w:rPr>
        <w:t>《最高人民法院关于处理自首和立功具体应用法律若干问题的解释》</w:t>
      </w:r>
    </w:p>
    <w:p w:rsidR="00EB787C" w:rsidRDefault="00EB787C">
      <w:pPr>
        <w:spacing w:line="500" w:lineRule="atLeast"/>
        <w:ind w:firstLine="600"/>
        <w:divId w:val="158889007"/>
        <w:rPr>
          <w:rFonts w:hint="eastAsia"/>
          <w:sz w:val="30"/>
          <w:szCs w:val="30"/>
        </w:rPr>
      </w:pPr>
      <w:r>
        <w:rPr>
          <w:rFonts w:hint="eastAsia"/>
          <w:sz w:val="30"/>
          <w:szCs w:val="30"/>
        </w:rPr>
        <w:t>第一条根据刑法第六十七条第一款的规定，犯罪以后自动投案，如实供述自己的罪行的，是自首。</w:t>
      </w:r>
    </w:p>
    <w:p w:rsidR="00EB787C" w:rsidRDefault="00EB787C">
      <w:pPr>
        <w:spacing w:line="500" w:lineRule="atLeast"/>
        <w:ind w:firstLine="600"/>
        <w:divId w:val="155989775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EB787C" w:rsidRDefault="00EB787C">
      <w:pPr>
        <w:spacing w:line="500" w:lineRule="atLeast"/>
        <w:ind w:firstLine="600"/>
        <w:divId w:val="172086071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EB787C" w:rsidRDefault="00EB787C">
      <w:pPr>
        <w:spacing w:line="500" w:lineRule="atLeast"/>
        <w:ind w:firstLine="600"/>
        <w:divId w:val="117650569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EB787C" w:rsidRDefault="00EB787C">
      <w:pPr>
        <w:spacing w:line="500" w:lineRule="atLeast"/>
        <w:ind w:firstLine="600"/>
        <w:divId w:val="1375160363"/>
        <w:rPr>
          <w:rFonts w:hint="eastAsia"/>
          <w:sz w:val="30"/>
          <w:szCs w:val="30"/>
        </w:rPr>
      </w:pPr>
      <w:r>
        <w:rPr>
          <w:rFonts w:hint="eastAsia"/>
          <w:sz w:val="30"/>
          <w:szCs w:val="30"/>
        </w:rPr>
        <w:t>犯罪嫌疑人自动投案后又逃跑的，不能认定为自首。</w:t>
      </w:r>
    </w:p>
    <w:p w:rsidR="00EB787C" w:rsidRDefault="00EB787C">
      <w:pPr>
        <w:spacing w:line="500" w:lineRule="atLeast"/>
        <w:ind w:firstLine="600"/>
        <w:divId w:val="1000426652"/>
        <w:rPr>
          <w:rFonts w:hint="eastAsia"/>
          <w:sz w:val="30"/>
          <w:szCs w:val="30"/>
        </w:rPr>
      </w:pPr>
      <w:r>
        <w:rPr>
          <w:rFonts w:hint="eastAsia"/>
          <w:sz w:val="30"/>
          <w:szCs w:val="30"/>
        </w:rPr>
        <w:t>（二）如实供述自己的罪行，是指犯罪嫌疑人自动投案后，如实交代自己的主要犯罪事实。</w:t>
      </w:r>
    </w:p>
    <w:p w:rsidR="00EB787C" w:rsidRDefault="00EB787C">
      <w:pPr>
        <w:spacing w:line="500" w:lineRule="atLeast"/>
        <w:ind w:firstLine="600"/>
        <w:divId w:val="692271139"/>
        <w:rPr>
          <w:rFonts w:hint="eastAsia"/>
          <w:sz w:val="30"/>
          <w:szCs w:val="30"/>
        </w:rPr>
      </w:pPr>
      <w:r>
        <w:rPr>
          <w:rFonts w:hint="eastAsia"/>
          <w:sz w:val="30"/>
          <w:szCs w:val="30"/>
        </w:rPr>
        <w:t>犯有数罪的犯罪嫌疑人仅如实供述所犯数罪中部分犯罪的，只对如实供述部分犯罪的行为，认定为自首。</w:t>
      </w:r>
    </w:p>
    <w:p w:rsidR="00EB787C" w:rsidRDefault="00EB787C">
      <w:pPr>
        <w:spacing w:line="500" w:lineRule="atLeast"/>
        <w:ind w:firstLine="600"/>
        <w:divId w:val="80963525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EB787C" w:rsidRDefault="00EB787C">
      <w:pPr>
        <w:spacing w:line="500" w:lineRule="atLeast"/>
        <w:ind w:firstLine="600"/>
        <w:divId w:val="23227480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EB787C" w:rsidRDefault="00EB787C">
      <w:pPr>
        <w:spacing w:line="500" w:lineRule="atLeast"/>
        <w:ind w:firstLine="600"/>
        <w:divId w:val="16039333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87C" w:rsidRDefault="00EB787C" w:rsidP="00EB787C">
      <w:pPr>
        <w:rPr>
          <w:rFonts w:hint="eastAsia"/>
        </w:rPr>
      </w:pPr>
      <w:r>
        <w:separator/>
      </w:r>
    </w:p>
  </w:endnote>
  <w:endnote w:type="continuationSeparator" w:id="0">
    <w:p w:rsidR="00EB787C" w:rsidRDefault="00EB787C" w:rsidP="00EB78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87C" w:rsidRDefault="00EB787C" w:rsidP="00EB787C">
      <w:pPr>
        <w:rPr>
          <w:rFonts w:hint="eastAsia"/>
        </w:rPr>
      </w:pPr>
      <w:r>
        <w:separator/>
      </w:r>
    </w:p>
  </w:footnote>
  <w:footnote w:type="continuationSeparator" w:id="0">
    <w:p w:rsidR="00EB787C" w:rsidRDefault="00EB787C" w:rsidP="00EB78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787C"/>
    <w:rsid w:val="007235DD"/>
    <w:rsid w:val="00EB7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787C"/>
    <w:pPr>
      <w:tabs>
        <w:tab w:val="center" w:pos="4153"/>
        <w:tab w:val="right" w:pos="8306"/>
      </w:tabs>
      <w:snapToGrid w:val="0"/>
      <w:jc w:val="center"/>
    </w:pPr>
    <w:rPr>
      <w:sz w:val="18"/>
      <w:szCs w:val="18"/>
    </w:rPr>
  </w:style>
  <w:style w:type="character" w:customStyle="1" w:styleId="a4">
    <w:name w:val="页眉 字符"/>
    <w:basedOn w:val="a0"/>
    <w:link w:val="a3"/>
    <w:uiPriority w:val="99"/>
    <w:rsid w:val="00EB787C"/>
    <w:rPr>
      <w:rFonts w:ascii="宋体" w:eastAsia="宋体" w:hAnsi="宋体" w:cs="宋体"/>
      <w:sz w:val="18"/>
      <w:szCs w:val="18"/>
    </w:rPr>
  </w:style>
  <w:style w:type="paragraph" w:styleId="a5">
    <w:name w:val="footer"/>
    <w:basedOn w:val="a"/>
    <w:link w:val="a6"/>
    <w:uiPriority w:val="99"/>
    <w:unhideWhenUsed/>
    <w:rsid w:val="00EB787C"/>
    <w:pPr>
      <w:tabs>
        <w:tab w:val="center" w:pos="4153"/>
        <w:tab w:val="right" w:pos="8306"/>
      </w:tabs>
      <w:snapToGrid w:val="0"/>
    </w:pPr>
    <w:rPr>
      <w:sz w:val="18"/>
      <w:szCs w:val="18"/>
    </w:rPr>
  </w:style>
  <w:style w:type="character" w:customStyle="1" w:styleId="a6">
    <w:name w:val="页脚 字符"/>
    <w:basedOn w:val="a0"/>
    <w:link w:val="a5"/>
    <w:uiPriority w:val="99"/>
    <w:rsid w:val="00EB78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323">
      <w:marLeft w:val="0"/>
      <w:marRight w:val="0"/>
      <w:marTop w:val="10"/>
      <w:marBottom w:val="10"/>
      <w:divBdr>
        <w:top w:val="none" w:sz="0" w:space="0" w:color="auto"/>
        <w:left w:val="none" w:sz="0" w:space="0" w:color="auto"/>
        <w:bottom w:val="none" w:sz="0" w:space="0" w:color="auto"/>
        <w:right w:val="none" w:sz="0" w:space="0" w:color="auto"/>
      </w:divBdr>
    </w:div>
    <w:div w:id="145050056">
      <w:marLeft w:val="0"/>
      <w:marRight w:val="0"/>
      <w:marTop w:val="10"/>
      <w:marBottom w:val="10"/>
      <w:divBdr>
        <w:top w:val="none" w:sz="0" w:space="0" w:color="auto"/>
        <w:left w:val="none" w:sz="0" w:space="0" w:color="auto"/>
        <w:bottom w:val="none" w:sz="0" w:space="0" w:color="auto"/>
        <w:right w:val="none" w:sz="0" w:space="0" w:color="auto"/>
      </w:divBdr>
    </w:div>
    <w:div w:id="158889007">
      <w:marLeft w:val="0"/>
      <w:marRight w:val="0"/>
      <w:marTop w:val="10"/>
      <w:marBottom w:val="10"/>
      <w:divBdr>
        <w:top w:val="none" w:sz="0" w:space="0" w:color="auto"/>
        <w:left w:val="none" w:sz="0" w:space="0" w:color="auto"/>
        <w:bottom w:val="none" w:sz="0" w:space="0" w:color="auto"/>
        <w:right w:val="none" w:sz="0" w:space="0" w:color="auto"/>
      </w:divBdr>
    </w:div>
    <w:div w:id="160393338">
      <w:marLeft w:val="0"/>
      <w:marRight w:val="0"/>
      <w:marTop w:val="10"/>
      <w:marBottom w:val="10"/>
      <w:divBdr>
        <w:top w:val="none" w:sz="0" w:space="0" w:color="auto"/>
        <w:left w:val="none" w:sz="0" w:space="0" w:color="auto"/>
        <w:bottom w:val="none" w:sz="0" w:space="0" w:color="auto"/>
        <w:right w:val="none" w:sz="0" w:space="0" w:color="auto"/>
      </w:divBdr>
    </w:div>
    <w:div w:id="224490206">
      <w:marLeft w:val="0"/>
      <w:marRight w:val="0"/>
      <w:marTop w:val="10"/>
      <w:marBottom w:val="10"/>
      <w:divBdr>
        <w:top w:val="none" w:sz="0" w:space="0" w:color="auto"/>
        <w:left w:val="none" w:sz="0" w:space="0" w:color="auto"/>
        <w:bottom w:val="none" w:sz="0" w:space="0" w:color="auto"/>
        <w:right w:val="none" w:sz="0" w:space="0" w:color="auto"/>
      </w:divBdr>
    </w:div>
    <w:div w:id="232274805">
      <w:marLeft w:val="0"/>
      <w:marRight w:val="0"/>
      <w:marTop w:val="10"/>
      <w:marBottom w:val="10"/>
      <w:divBdr>
        <w:top w:val="none" w:sz="0" w:space="0" w:color="auto"/>
        <w:left w:val="none" w:sz="0" w:space="0" w:color="auto"/>
        <w:bottom w:val="none" w:sz="0" w:space="0" w:color="auto"/>
        <w:right w:val="none" w:sz="0" w:space="0" w:color="auto"/>
      </w:divBdr>
    </w:div>
    <w:div w:id="243951711">
      <w:marLeft w:val="0"/>
      <w:marRight w:val="720"/>
      <w:marTop w:val="10"/>
      <w:marBottom w:val="10"/>
      <w:divBdr>
        <w:top w:val="none" w:sz="0" w:space="0" w:color="auto"/>
        <w:left w:val="none" w:sz="0" w:space="0" w:color="auto"/>
        <w:bottom w:val="none" w:sz="0" w:space="0" w:color="auto"/>
        <w:right w:val="none" w:sz="0" w:space="0" w:color="auto"/>
      </w:divBdr>
    </w:div>
    <w:div w:id="292638648">
      <w:marLeft w:val="0"/>
      <w:marRight w:val="0"/>
      <w:marTop w:val="10"/>
      <w:marBottom w:val="10"/>
      <w:divBdr>
        <w:top w:val="none" w:sz="0" w:space="0" w:color="auto"/>
        <w:left w:val="none" w:sz="0" w:space="0" w:color="auto"/>
        <w:bottom w:val="none" w:sz="0" w:space="0" w:color="auto"/>
        <w:right w:val="none" w:sz="0" w:space="0" w:color="auto"/>
      </w:divBdr>
    </w:div>
    <w:div w:id="301614226">
      <w:marLeft w:val="0"/>
      <w:marRight w:val="0"/>
      <w:marTop w:val="10"/>
      <w:marBottom w:val="10"/>
      <w:divBdr>
        <w:top w:val="none" w:sz="0" w:space="0" w:color="auto"/>
        <w:left w:val="none" w:sz="0" w:space="0" w:color="auto"/>
        <w:bottom w:val="none" w:sz="0" w:space="0" w:color="auto"/>
        <w:right w:val="none" w:sz="0" w:space="0" w:color="auto"/>
      </w:divBdr>
    </w:div>
    <w:div w:id="376206111">
      <w:marLeft w:val="0"/>
      <w:marRight w:val="0"/>
      <w:marTop w:val="10"/>
      <w:marBottom w:val="10"/>
      <w:divBdr>
        <w:top w:val="none" w:sz="0" w:space="0" w:color="auto"/>
        <w:left w:val="none" w:sz="0" w:space="0" w:color="auto"/>
        <w:bottom w:val="none" w:sz="0" w:space="0" w:color="auto"/>
        <w:right w:val="none" w:sz="0" w:space="0" w:color="auto"/>
      </w:divBdr>
    </w:div>
    <w:div w:id="439952908">
      <w:marLeft w:val="0"/>
      <w:marRight w:val="0"/>
      <w:marTop w:val="10"/>
      <w:marBottom w:val="10"/>
      <w:divBdr>
        <w:top w:val="none" w:sz="0" w:space="0" w:color="auto"/>
        <w:left w:val="none" w:sz="0" w:space="0" w:color="auto"/>
        <w:bottom w:val="none" w:sz="0" w:space="0" w:color="auto"/>
        <w:right w:val="none" w:sz="0" w:space="0" w:color="auto"/>
      </w:divBdr>
    </w:div>
    <w:div w:id="455561449">
      <w:marLeft w:val="0"/>
      <w:marRight w:val="0"/>
      <w:marTop w:val="10"/>
      <w:marBottom w:val="10"/>
      <w:divBdr>
        <w:top w:val="none" w:sz="0" w:space="0" w:color="auto"/>
        <w:left w:val="none" w:sz="0" w:space="0" w:color="auto"/>
        <w:bottom w:val="none" w:sz="0" w:space="0" w:color="auto"/>
        <w:right w:val="none" w:sz="0" w:space="0" w:color="auto"/>
      </w:divBdr>
    </w:div>
    <w:div w:id="527329734">
      <w:marLeft w:val="0"/>
      <w:marRight w:val="0"/>
      <w:marTop w:val="10"/>
      <w:marBottom w:val="10"/>
      <w:divBdr>
        <w:top w:val="none" w:sz="0" w:space="0" w:color="auto"/>
        <w:left w:val="none" w:sz="0" w:space="0" w:color="auto"/>
        <w:bottom w:val="none" w:sz="0" w:space="0" w:color="auto"/>
        <w:right w:val="none" w:sz="0" w:space="0" w:color="auto"/>
      </w:divBdr>
    </w:div>
    <w:div w:id="642541989">
      <w:marLeft w:val="0"/>
      <w:marRight w:val="0"/>
      <w:marTop w:val="10"/>
      <w:marBottom w:val="10"/>
      <w:divBdr>
        <w:top w:val="none" w:sz="0" w:space="0" w:color="auto"/>
        <w:left w:val="none" w:sz="0" w:space="0" w:color="auto"/>
        <w:bottom w:val="none" w:sz="0" w:space="0" w:color="auto"/>
        <w:right w:val="none" w:sz="0" w:space="0" w:color="auto"/>
      </w:divBdr>
    </w:div>
    <w:div w:id="647520366">
      <w:marLeft w:val="0"/>
      <w:marRight w:val="720"/>
      <w:marTop w:val="10"/>
      <w:marBottom w:val="10"/>
      <w:divBdr>
        <w:top w:val="none" w:sz="0" w:space="0" w:color="auto"/>
        <w:left w:val="none" w:sz="0" w:space="0" w:color="auto"/>
        <w:bottom w:val="none" w:sz="0" w:space="0" w:color="auto"/>
        <w:right w:val="none" w:sz="0" w:space="0" w:color="auto"/>
      </w:divBdr>
    </w:div>
    <w:div w:id="651720435">
      <w:marLeft w:val="0"/>
      <w:marRight w:val="0"/>
      <w:marTop w:val="10"/>
      <w:marBottom w:val="10"/>
      <w:divBdr>
        <w:top w:val="none" w:sz="0" w:space="0" w:color="auto"/>
        <w:left w:val="none" w:sz="0" w:space="0" w:color="auto"/>
        <w:bottom w:val="none" w:sz="0" w:space="0" w:color="auto"/>
        <w:right w:val="none" w:sz="0" w:space="0" w:color="auto"/>
      </w:divBdr>
    </w:div>
    <w:div w:id="692271139">
      <w:marLeft w:val="0"/>
      <w:marRight w:val="0"/>
      <w:marTop w:val="10"/>
      <w:marBottom w:val="10"/>
      <w:divBdr>
        <w:top w:val="none" w:sz="0" w:space="0" w:color="auto"/>
        <w:left w:val="none" w:sz="0" w:space="0" w:color="auto"/>
        <w:bottom w:val="none" w:sz="0" w:space="0" w:color="auto"/>
        <w:right w:val="none" w:sz="0" w:space="0" w:color="auto"/>
      </w:divBdr>
    </w:div>
    <w:div w:id="711078303">
      <w:marLeft w:val="0"/>
      <w:marRight w:val="0"/>
      <w:marTop w:val="10"/>
      <w:marBottom w:val="10"/>
      <w:divBdr>
        <w:top w:val="none" w:sz="0" w:space="0" w:color="auto"/>
        <w:left w:val="none" w:sz="0" w:space="0" w:color="auto"/>
        <w:bottom w:val="none" w:sz="0" w:space="0" w:color="auto"/>
        <w:right w:val="none" w:sz="0" w:space="0" w:color="auto"/>
      </w:divBdr>
    </w:div>
    <w:div w:id="723258676">
      <w:marLeft w:val="0"/>
      <w:marRight w:val="0"/>
      <w:marTop w:val="10"/>
      <w:marBottom w:val="10"/>
      <w:divBdr>
        <w:top w:val="none" w:sz="0" w:space="0" w:color="auto"/>
        <w:left w:val="none" w:sz="0" w:space="0" w:color="auto"/>
        <w:bottom w:val="none" w:sz="0" w:space="0" w:color="auto"/>
        <w:right w:val="none" w:sz="0" w:space="0" w:color="auto"/>
      </w:divBdr>
    </w:div>
    <w:div w:id="727800075">
      <w:marLeft w:val="0"/>
      <w:marRight w:val="0"/>
      <w:marTop w:val="10"/>
      <w:marBottom w:val="10"/>
      <w:divBdr>
        <w:top w:val="none" w:sz="0" w:space="0" w:color="auto"/>
        <w:left w:val="none" w:sz="0" w:space="0" w:color="auto"/>
        <w:bottom w:val="none" w:sz="0" w:space="0" w:color="auto"/>
        <w:right w:val="none" w:sz="0" w:space="0" w:color="auto"/>
      </w:divBdr>
    </w:div>
    <w:div w:id="778141372">
      <w:marLeft w:val="0"/>
      <w:marRight w:val="0"/>
      <w:marTop w:val="10"/>
      <w:marBottom w:val="10"/>
      <w:divBdr>
        <w:top w:val="none" w:sz="0" w:space="0" w:color="auto"/>
        <w:left w:val="none" w:sz="0" w:space="0" w:color="auto"/>
        <w:bottom w:val="none" w:sz="0" w:space="0" w:color="auto"/>
        <w:right w:val="none" w:sz="0" w:space="0" w:color="auto"/>
      </w:divBdr>
    </w:div>
    <w:div w:id="785927925">
      <w:marLeft w:val="0"/>
      <w:marRight w:val="0"/>
      <w:marTop w:val="10"/>
      <w:marBottom w:val="10"/>
      <w:divBdr>
        <w:top w:val="none" w:sz="0" w:space="0" w:color="auto"/>
        <w:left w:val="none" w:sz="0" w:space="0" w:color="auto"/>
        <w:bottom w:val="none" w:sz="0" w:space="0" w:color="auto"/>
        <w:right w:val="none" w:sz="0" w:space="0" w:color="auto"/>
      </w:divBdr>
    </w:div>
    <w:div w:id="809635251">
      <w:marLeft w:val="0"/>
      <w:marRight w:val="0"/>
      <w:marTop w:val="10"/>
      <w:marBottom w:val="10"/>
      <w:divBdr>
        <w:top w:val="none" w:sz="0" w:space="0" w:color="auto"/>
        <w:left w:val="none" w:sz="0" w:space="0" w:color="auto"/>
        <w:bottom w:val="none" w:sz="0" w:space="0" w:color="auto"/>
        <w:right w:val="none" w:sz="0" w:space="0" w:color="auto"/>
      </w:divBdr>
    </w:div>
    <w:div w:id="813372841">
      <w:marLeft w:val="0"/>
      <w:marRight w:val="0"/>
      <w:marTop w:val="10"/>
      <w:marBottom w:val="10"/>
      <w:divBdr>
        <w:top w:val="none" w:sz="0" w:space="0" w:color="auto"/>
        <w:left w:val="none" w:sz="0" w:space="0" w:color="auto"/>
        <w:bottom w:val="none" w:sz="0" w:space="0" w:color="auto"/>
        <w:right w:val="none" w:sz="0" w:space="0" w:color="auto"/>
      </w:divBdr>
    </w:div>
    <w:div w:id="861283629">
      <w:marLeft w:val="0"/>
      <w:marRight w:val="0"/>
      <w:marTop w:val="10"/>
      <w:marBottom w:val="10"/>
      <w:divBdr>
        <w:top w:val="none" w:sz="0" w:space="0" w:color="auto"/>
        <w:left w:val="none" w:sz="0" w:space="0" w:color="auto"/>
        <w:bottom w:val="none" w:sz="0" w:space="0" w:color="auto"/>
        <w:right w:val="none" w:sz="0" w:space="0" w:color="auto"/>
      </w:divBdr>
    </w:div>
    <w:div w:id="1000426652">
      <w:marLeft w:val="0"/>
      <w:marRight w:val="0"/>
      <w:marTop w:val="10"/>
      <w:marBottom w:val="10"/>
      <w:divBdr>
        <w:top w:val="none" w:sz="0" w:space="0" w:color="auto"/>
        <w:left w:val="none" w:sz="0" w:space="0" w:color="auto"/>
        <w:bottom w:val="none" w:sz="0" w:space="0" w:color="auto"/>
        <w:right w:val="none" w:sz="0" w:space="0" w:color="auto"/>
      </w:divBdr>
    </w:div>
    <w:div w:id="1008406335">
      <w:marLeft w:val="0"/>
      <w:marRight w:val="0"/>
      <w:marTop w:val="10"/>
      <w:marBottom w:val="10"/>
      <w:divBdr>
        <w:top w:val="none" w:sz="0" w:space="0" w:color="auto"/>
        <w:left w:val="none" w:sz="0" w:space="0" w:color="auto"/>
        <w:bottom w:val="none" w:sz="0" w:space="0" w:color="auto"/>
        <w:right w:val="none" w:sz="0" w:space="0" w:color="auto"/>
      </w:divBdr>
    </w:div>
    <w:div w:id="1038971193">
      <w:marLeft w:val="0"/>
      <w:marRight w:val="720"/>
      <w:marTop w:val="10"/>
      <w:marBottom w:val="10"/>
      <w:divBdr>
        <w:top w:val="none" w:sz="0" w:space="0" w:color="auto"/>
        <w:left w:val="none" w:sz="0" w:space="0" w:color="auto"/>
        <w:bottom w:val="none" w:sz="0" w:space="0" w:color="auto"/>
        <w:right w:val="none" w:sz="0" w:space="0" w:color="auto"/>
      </w:divBdr>
    </w:div>
    <w:div w:id="1073625538">
      <w:marLeft w:val="0"/>
      <w:marRight w:val="0"/>
      <w:marTop w:val="10"/>
      <w:marBottom w:val="10"/>
      <w:divBdr>
        <w:top w:val="none" w:sz="0" w:space="0" w:color="auto"/>
        <w:left w:val="none" w:sz="0" w:space="0" w:color="auto"/>
        <w:bottom w:val="none" w:sz="0" w:space="0" w:color="auto"/>
        <w:right w:val="none" w:sz="0" w:space="0" w:color="auto"/>
      </w:divBdr>
    </w:div>
    <w:div w:id="1092749017">
      <w:marLeft w:val="0"/>
      <w:marRight w:val="0"/>
      <w:marTop w:val="10"/>
      <w:marBottom w:val="10"/>
      <w:divBdr>
        <w:top w:val="none" w:sz="0" w:space="0" w:color="auto"/>
        <w:left w:val="none" w:sz="0" w:space="0" w:color="auto"/>
        <w:bottom w:val="none" w:sz="0" w:space="0" w:color="auto"/>
        <w:right w:val="none" w:sz="0" w:space="0" w:color="auto"/>
      </w:divBdr>
    </w:div>
    <w:div w:id="1107191570">
      <w:marLeft w:val="0"/>
      <w:marRight w:val="0"/>
      <w:marTop w:val="10"/>
      <w:marBottom w:val="10"/>
      <w:divBdr>
        <w:top w:val="none" w:sz="0" w:space="0" w:color="auto"/>
        <w:left w:val="none" w:sz="0" w:space="0" w:color="auto"/>
        <w:bottom w:val="none" w:sz="0" w:space="0" w:color="auto"/>
        <w:right w:val="none" w:sz="0" w:space="0" w:color="auto"/>
      </w:divBdr>
    </w:div>
    <w:div w:id="1176505697">
      <w:marLeft w:val="0"/>
      <w:marRight w:val="0"/>
      <w:marTop w:val="10"/>
      <w:marBottom w:val="10"/>
      <w:divBdr>
        <w:top w:val="none" w:sz="0" w:space="0" w:color="auto"/>
        <w:left w:val="none" w:sz="0" w:space="0" w:color="auto"/>
        <w:bottom w:val="none" w:sz="0" w:space="0" w:color="auto"/>
        <w:right w:val="none" w:sz="0" w:space="0" w:color="auto"/>
      </w:divBdr>
    </w:div>
    <w:div w:id="1178230929">
      <w:marLeft w:val="0"/>
      <w:marRight w:val="0"/>
      <w:marTop w:val="10"/>
      <w:marBottom w:val="10"/>
      <w:divBdr>
        <w:top w:val="none" w:sz="0" w:space="0" w:color="auto"/>
        <w:left w:val="none" w:sz="0" w:space="0" w:color="auto"/>
        <w:bottom w:val="none" w:sz="0" w:space="0" w:color="auto"/>
        <w:right w:val="none" w:sz="0" w:space="0" w:color="auto"/>
      </w:divBdr>
    </w:div>
    <w:div w:id="1211461462">
      <w:marLeft w:val="0"/>
      <w:marRight w:val="0"/>
      <w:marTop w:val="10"/>
      <w:marBottom w:val="10"/>
      <w:divBdr>
        <w:top w:val="none" w:sz="0" w:space="0" w:color="auto"/>
        <w:left w:val="none" w:sz="0" w:space="0" w:color="auto"/>
        <w:bottom w:val="none" w:sz="0" w:space="0" w:color="auto"/>
        <w:right w:val="none" w:sz="0" w:space="0" w:color="auto"/>
      </w:divBdr>
    </w:div>
    <w:div w:id="1305626842">
      <w:marLeft w:val="0"/>
      <w:marRight w:val="0"/>
      <w:marTop w:val="10"/>
      <w:marBottom w:val="10"/>
      <w:divBdr>
        <w:top w:val="none" w:sz="0" w:space="0" w:color="auto"/>
        <w:left w:val="none" w:sz="0" w:space="0" w:color="auto"/>
        <w:bottom w:val="none" w:sz="0" w:space="0" w:color="auto"/>
        <w:right w:val="none" w:sz="0" w:space="0" w:color="auto"/>
      </w:divBdr>
    </w:div>
    <w:div w:id="1342774870">
      <w:marLeft w:val="0"/>
      <w:marRight w:val="0"/>
      <w:marTop w:val="10"/>
      <w:marBottom w:val="10"/>
      <w:divBdr>
        <w:top w:val="none" w:sz="0" w:space="0" w:color="auto"/>
        <w:left w:val="none" w:sz="0" w:space="0" w:color="auto"/>
        <w:bottom w:val="none" w:sz="0" w:space="0" w:color="auto"/>
        <w:right w:val="none" w:sz="0" w:space="0" w:color="auto"/>
      </w:divBdr>
    </w:div>
    <w:div w:id="1375160363">
      <w:marLeft w:val="0"/>
      <w:marRight w:val="0"/>
      <w:marTop w:val="10"/>
      <w:marBottom w:val="10"/>
      <w:divBdr>
        <w:top w:val="none" w:sz="0" w:space="0" w:color="auto"/>
        <w:left w:val="none" w:sz="0" w:space="0" w:color="auto"/>
        <w:bottom w:val="none" w:sz="0" w:space="0" w:color="auto"/>
        <w:right w:val="none" w:sz="0" w:space="0" w:color="auto"/>
      </w:divBdr>
    </w:div>
    <w:div w:id="1455518578">
      <w:marLeft w:val="0"/>
      <w:marRight w:val="0"/>
      <w:marTop w:val="10"/>
      <w:marBottom w:val="10"/>
      <w:divBdr>
        <w:top w:val="none" w:sz="0" w:space="0" w:color="auto"/>
        <w:left w:val="none" w:sz="0" w:space="0" w:color="auto"/>
        <w:bottom w:val="none" w:sz="0" w:space="0" w:color="auto"/>
        <w:right w:val="none" w:sz="0" w:space="0" w:color="auto"/>
      </w:divBdr>
    </w:div>
    <w:div w:id="1559897757">
      <w:marLeft w:val="0"/>
      <w:marRight w:val="0"/>
      <w:marTop w:val="10"/>
      <w:marBottom w:val="10"/>
      <w:divBdr>
        <w:top w:val="none" w:sz="0" w:space="0" w:color="auto"/>
        <w:left w:val="none" w:sz="0" w:space="0" w:color="auto"/>
        <w:bottom w:val="none" w:sz="0" w:space="0" w:color="auto"/>
        <w:right w:val="none" w:sz="0" w:space="0" w:color="auto"/>
      </w:divBdr>
    </w:div>
    <w:div w:id="1576474294">
      <w:marLeft w:val="0"/>
      <w:marRight w:val="0"/>
      <w:marTop w:val="10"/>
      <w:marBottom w:val="10"/>
      <w:divBdr>
        <w:top w:val="none" w:sz="0" w:space="0" w:color="auto"/>
        <w:left w:val="none" w:sz="0" w:space="0" w:color="auto"/>
        <w:bottom w:val="none" w:sz="0" w:space="0" w:color="auto"/>
        <w:right w:val="none" w:sz="0" w:space="0" w:color="auto"/>
      </w:divBdr>
    </w:div>
    <w:div w:id="1617177079">
      <w:marLeft w:val="0"/>
      <w:marRight w:val="0"/>
      <w:marTop w:val="10"/>
      <w:marBottom w:val="10"/>
      <w:divBdr>
        <w:top w:val="none" w:sz="0" w:space="0" w:color="auto"/>
        <w:left w:val="none" w:sz="0" w:space="0" w:color="auto"/>
        <w:bottom w:val="none" w:sz="0" w:space="0" w:color="auto"/>
        <w:right w:val="none" w:sz="0" w:space="0" w:color="auto"/>
      </w:divBdr>
    </w:div>
    <w:div w:id="1624727453">
      <w:marLeft w:val="0"/>
      <w:marRight w:val="0"/>
      <w:marTop w:val="10"/>
      <w:marBottom w:val="10"/>
      <w:divBdr>
        <w:top w:val="none" w:sz="0" w:space="0" w:color="auto"/>
        <w:left w:val="none" w:sz="0" w:space="0" w:color="auto"/>
        <w:bottom w:val="none" w:sz="0" w:space="0" w:color="auto"/>
        <w:right w:val="none" w:sz="0" w:space="0" w:color="auto"/>
      </w:divBdr>
    </w:div>
    <w:div w:id="1720860715">
      <w:marLeft w:val="0"/>
      <w:marRight w:val="0"/>
      <w:marTop w:val="10"/>
      <w:marBottom w:val="10"/>
      <w:divBdr>
        <w:top w:val="none" w:sz="0" w:space="0" w:color="auto"/>
        <w:left w:val="none" w:sz="0" w:space="0" w:color="auto"/>
        <w:bottom w:val="none" w:sz="0" w:space="0" w:color="auto"/>
        <w:right w:val="none" w:sz="0" w:space="0" w:color="auto"/>
      </w:divBdr>
    </w:div>
    <w:div w:id="1735077736">
      <w:marLeft w:val="0"/>
      <w:marRight w:val="0"/>
      <w:marTop w:val="10"/>
      <w:marBottom w:val="10"/>
      <w:divBdr>
        <w:top w:val="none" w:sz="0" w:space="0" w:color="auto"/>
        <w:left w:val="none" w:sz="0" w:space="0" w:color="auto"/>
        <w:bottom w:val="none" w:sz="0" w:space="0" w:color="auto"/>
        <w:right w:val="none" w:sz="0" w:space="0" w:color="auto"/>
      </w:divBdr>
    </w:div>
    <w:div w:id="1739132048">
      <w:marLeft w:val="0"/>
      <w:marRight w:val="0"/>
      <w:marTop w:val="10"/>
      <w:marBottom w:val="10"/>
      <w:divBdr>
        <w:top w:val="none" w:sz="0" w:space="0" w:color="auto"/>
        <w:left w:val="none" w:sz="0" w:space="0" w:color="auto"/>
        <w:bottom w:val="none" w:sz="0" w:space="0" w:color="auto"/>
        <w:right w:val="none" w:sz="0" w:space="0" w:color="auto"/>
      </w:divBdr>
    </w:div>
    <w:div w:id="1778256246">
      <w:marLeft w:val="0"/>
      <w:marRight w:val="0"/>
      <w:marTop w:val="10"/>
      <w:marBottom w:val="10"/>
      <w:divBdr>
        <w:top w:val="none" w:sz="0" w:space="0" w:color="auto"/>
        <w:left w:val="none" w:sz="0" w:space="0" w:color="auto"/>
        <w:bottom w:val="none" w:sz="0" w:space="0" w:color="auto"/>
        <w:right w:val="none" w:sz="0" w:space="0" w:color="auto"/>
      </w:divBdr>
    </w:div>
    <w:div w:id="1779793263">
      <w:marLeft w:val="0"/>
      <w:marRight w:val="0"/>
      <w:marTop w:val="10"/>
      <w:marBottom w:val="10"/>
      <w:divBdr>
        <w:top w:val="none" w:sz="0" w:space="0" w:color="auto"/>
        <w:left w:val="none" w:sz="0" w:space="0" w:color="auto"/>
        <w:bottom w:val="none" w:sz="0" w:space="0" w:color="auto"/>
        <w:right w:val="none" w:sz="0" w:space="0" w:color="auto"/>
      </w:divBdr>
    </w:div>
    <w:div w:id="1854761417">
      <w:marLeft w:val="0"/>
      <w:marRight w:val="720"/>
      <w:marTop w:val="10"/>
      <w:marBottom w:val="10"/>
      <w:divBdr>
        <w:top w:val="none" w:sz="0" w:space="0" w:color="auto"/>
        <w:left w:val="none" w:sz="0" w:space="0" w:color="auto"/>
        <w:bottom w:val="none" w:sz="0" w:space="0" w:color="auto"/>
        <w:right w:val="none" w:sz="0" w:space="0" w:color="auto"/>
      </w:divBdr>
    </w:div>
    <w:div w:id="1914241779">
      <w:marLeft w:val="0"/>
      <w:marRight w:val="720"/>
      <w:marTop w:val="10"/>
      <w:marBottom w:val="10"/>
      <w:divBdr>
        <w:top w:val="none" w:sz="0" w:space="0" w:color="auto"/>
        <w:left w:val="none" w:sz="0" w:space="0" w:color="auto"/>
        <w:bottom w:val="none" w:sz="0" w:space="0" w:color="auto"/>
        <w:right w:val="none" w:sz="0" w:space="0" w:color="auto"/>
      </w:divBdr>
    </w:div>
    <w:div w:id="1943101160">
      <w:marLeft w:val="0"/>
      <w:marRight w:val="0"/>
      <w:marTop w:val="10"/>
      <w:marBottom w:val="10"/>
      <w:divBdr>
        <w:top w:val="none" w:sz="0" w:space="0" w:color="auto"/>
        <w:left w:val="none" w:sz="0" w:space="0" w:color="auto"/>
        <w:bottom w:val="none" w:sz="0" w:space="0" w:color="auto"/>
        <w:right w:val="none" w:sz="0" w:space="0" w:color="auto"/>
      </w:divBdr>
    </w:div>
    <w:div w:id="2087192217">
      <w:marLeft w:val="0"/>
      <w:marRight w:val="0"/>
      <w:marTop w:val="10"/>
      <w:marBottom w:val="10"/>
      <w:divBdr>
        <w:top w:val="none" w:sz="0" w:space="0" w:color="auto"/>
        <w:left w:val="none" w:sz="0" w:space="0" w:color="auto"/>
        <w:bottom w:val="none" w:sz="0" w:space="0" w:color="auto"/>
        <w:right w:val="none" w:sz="0" w:space="0" w:color="auto"/>
      </w:divBdr>
    </w:div>
    <w:div w:id="2137216098">
      <w:marLeft w:val="0"/>
      <w:marRight w:val="0"/>
      <w:marTop w:val="10"/>
      <w:marBottom w:val="10"/>
      <w:divBdr>
        <w:top w:val="none" w:sz="0" w:space="0" w:color="auto"/>
        <w:left w:val="none" w:sz="0" w:space="0" w:color="auto"/>
        <w:bottom w:val="none" w:sz="0" w:space="0" w:color="auto"/>
        <w:right w:val="none" w:sz="0" w:space="0" w:color="auto"/>
      </w:divBdr>
    </w:div>
    <w:div w:id="21469683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