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5817" w:rsidRDefault="00755817">
      <w:pPr>
        <w:spacing w:line="500" w:lineRule="atLeast"/>
        <w:jc w:val="center"/>
        <w:divId w:val="2111972045"/>
        <w:rPr>
          <w:rFonts w:ascii="黑体" w:eastAsia="黑体" w:hAnsi="黑体"/>
          <w:sz w:val="36"/>
          <w:szCs w:val="36"/>
        </w:rPr>
      </w:pPr>
      <w:r>
        <w:rPr>
          <w:rFonts w:ascii="黑体" w:eastAsia="黑体" w:hAnsi="黑体" w:hint="eastAsia"/>
          <w:sz w:val="36"/>
          <w:szCs w:val="36"/>
        </w:rPr>
        <w:t>广东省广州市白云区人民法院</w:t>
      </w:r>
    </w:p>
    <w:p w:rsidR="00755817" w:rsidRDefault="00755817">
      <w:pPr>
        <w:spacing w:line="500" w:lineRule="atLeast"/>
        <w:jc w:val="center"/>
        <w:divId w:val="9042229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55817" w:rsidRDefault="00755817">
      <w:pPr>
        <w:spacing w:line="500" w:lineRule="atLeast"/>
        <w:jc w:val="right"/>
        <w:divId w:val="1355153521"/>
        <w:rPr>
          <w:rFonts w:hint="eastAsia"/>
          <w:sz w:val="30"/>
          <w:szCs w:val="30"/>
        </w:rPr>
      </w:pPr>
      <w:r>
        <w:rPr>
          <w:rFonts w:hint="eastAsia"/>
          <w:sz w:val="30"/>
          <w:szCs w:val="30"/>
        </w:rPr>
        <w:t>（</w:t>
      </w:r>
      <w:r>
        <w:rPr>
          <w:rFonts w:hint="eastAsia"/>
          <w:sz w:val="30"/>
          <w:szCs w:val="30"/>
        </w:rPr>
        <w:t>2014</w:t>
      </w:r>
      <w:r>
        <w:rPr>
          <w:rFonts w:hint="eastAsia"/>
          <w:sz w:val="30"/>
          <w:szCs w:val="30"/>
        </w:rPr>
        <w:t>）穗云法刑初字第</w:t>
      </w:r>
      <w:r>
        <w:rPr>
          <w:rFonts w:hint="eastAsia"/>
          <w:sz w:val="30"/>
          <w:szCs w:val="30"/>
        </w:rPr>
        <w:t>1786</w:t>
      </w:r>
      <w:r>
        <w:rPr>
          <w:rFonts w:hint="eastAsia"/>
          <w:sz w:val="30"/>
          <w:szCs w:val="30"/>
        </w:rPr>
        <w:t>号</w:t>
      </w:r>
    </w:p>
    <w:p w:rsidR="00755817" w:rsidRDefault="00755817">
      <w:pPr>
        <w:spacing w:line="500" w:lineRule="atLeast"/>
        <w:ind w:firstLine="600"/>
        <w:divId w:val="1802116099"/>
        <w:rPr>
          <w:rFonts w:hint="eastAsia"/>
          <w:sz w:val="30"/>
          <w:szCs w:val="30"/>
        </w:rPr>
      </w:pPr>
      <w:r>
        <w:rPr>
          <w:rFonts w:hint="eastAsia"/>
          <w:sz w:val="30"/>
          <w:szCs w:val="30"/>
        </w:rPr>
        <w:t>公诉机关广州市白云区人民检察院。</w:t>
      </w:r>
    </w:p>
    <w:p w:rsidR="00755817" w:rsidRDefault="00755817">
      <w:pPr>
        <w:spacing w:line="500" w:lineRule="atLeast"/>
        <w:ind w:firstLine="600"/>
        <w:divId w:val="767702867"/>
        <w:rPr>
          <w:rFonts w:hint="eastAsia"/>
          <w:sz w:val="30"/>
          <w:szCs w:val="30"/>
        </w:rPr>
      </w:pPr>
      <w:r>
        <w:rPr>
          <w:rFonts w:hint="eastAsia"/>
          <w:sz w:val="30"/>
          <w:szCs w:val="30"/>
        </w:rPr>
        <w:t>被告人秦国辉，男，</w:t>
      </w:r>
      <w:r>
        <w:rPr>
          <w:rFonts w:hint="eastAsia"/>
          <w:sz w:val="30"/>
          <w:szCs w:val="30"/>
        </w:rPr>
        <w:t>1960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日出生，汉族，出生地广东省广州市，文化程度硕士研究生，被捕前担任中国南方航空股份有限公司市场营销管理委员会常务副主任，住广州市荔湾区。因本案于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日被羁押并于次日被刑事拘留，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日被逮捕。现羁押于广州市白云区看守所。</w:t>
      </w:r>
    </w:p>
    <w:p w:rsidR="00755817" w:rsidRDefault="00755817">
      <w:pPr>
        <w:spacing w:line="500" w:lineRule="atLeast"/>
        <w:ind w:firstLine="600"/>
        <w:divId w:val="2137331419"/>
        <w:rPr>
          <w:rFonts w:hint="eastAsia"/>
          <w:sz w:val="30"/>
          <w:szCs w:val="30"/>
        </w:rPr>
      </w:pPr>
      <w:r>
        <w:rPr>
          <w:rFonts w:hint="eastAsia"/>
          <w:sz w:val="30"/>
          <w:szCs w:val="30"/>
        </w:rPr>
        <w:t>辩护人王际军，广东广大律师事务所律师。</w:t>
      </w:r>
    </w:p>
    <w:p w:rsidR="00755817" w:rsidRDefault="00755817">
      <w:pPr>
        <w:spacing w:line="500" w:lineRule="atLeast"/>
        <w:ind w:firstLine="600"/>
        <w:divId w:val="1362628499"/>
        <w:rPr>
          <w:rFonts w:hint="eastAsia"/>
          <w:sz w:val="30"/>
          <w:szCs w:val="30"/>
        </w:rPr>
      </w:pPr>
      <w:r>
        <w:rPr>
          <w:rFonts w:hint="eastAsia"/>
          <w:sz w:val="30"/>
          <w:szCs w:val="30"/>
        </w:rPr>
        <w:t>广州市白云区人民检察院以穗云检公诉刑诉（</w:t>
      </w:r>
      <w:r>
        <w:rPr>
          <w:rFonts w:hint="eastAsia"/>
          <w:sz w:val="30"/>
          <w:szCs w:val="30"/>
        </w:rPr>
        <w:t>2014</w:t>
      </w:r>
      <w:r>
        <w:rPr>
          <w:rFonts w:hint="eastAsia"/>
          <w:sz w:val="30"/>
          <w:szCs w:val="30"/>
        </w:rPr>
        <w:t>）</w:t>
      </w:r>
      <w:r>
        <w:rPr>
          <w:rFonts w:hint="eastAsia"/>
          <w:sz w:val="30"/>
          <w:szCs w:val="30"/>
        </w:rPr>
        <w:t>1671</w:t>
      </w:r>
      <w:r>
        <w:rPr>
          <w:rFonts w:hint="eastAsia"/>
          <w:sz w:val="30"/>
          <w:szCs w:val="30"/>
        </w:rPr>
        <w:t>号起诉书，指控被告人秦国辉犯贪污罪，于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日向本院提起公诉。本院依法组成合议庭，公开开庭审理了本案。广州市白云区人民检察院指派检察员杨冬艳出庭支持公诉，被告人秦国辉及辩护人王际军到庭参加诉讼，本案现已审理终结。</w:t>
      </w:r>
    </w:p>
    <w:p w:rsidR="00755817" w:rsidRDefault="00755817">
      <w:pPr>
        <w:spacing w:line="500" w:lineRule="atLeast"/>
        <w:ind w:firstLine="600"/>
        <w:divId w:val="37972587"/>
        <w:rPr>
          <w:rFonts w:hint="eastAsia"/>
          <w:sz w:val="30"/>
          <w:szCs w:val="30"/>
        </w:rPr>
      </w:pPr>
      <w:r>
        <w:rPr>
          <w:rFonts w:hint="eastAsia"/>
          <w:sz w:val="30"/>
          <w:szCs w:val="30"/>
        </w:rPr>
        <w:t>广州市白云区人民检察院指控：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年，被告人秦国辉在担任中国南方航空股份有限公司吉林分公司总经理期间，利用负责全面工作的职务便利，采用虚构支出的手段，套取公司人民币</w:t>
      </w:r>
      <w:r>
        <w:rPr>
          <w:rFonts w:hint="eastAsia"/>
          <w:sz w:val="30"/>
          <w:szCs w:val="30"/>
        </w:rPr>
        <w:t>656167.6</w:t>
      </w:r>
      <w:r>
        <w:rPr>
          <w:rFonts w:hint="eastAsia"/>
          <w:sz w:val="30"/>
          <w:szCs w:val="30"/>
        </w:rPr>
        <w:t>元，非法占为己有。</w:t>
      </w:r>
    </w:p>
    <w:p w:rsidR="00755817" w:rsidRDefault="00755817">
      <w:pPr>
        <w:spacing w:line="500" w:lineRule="atLeast"/>
        <w:ind w:firstLine="600"/>
        <w:divId w:val="753163348"/>
        <w:rPr>
          <w:rFonts w:hint="eastAsia"/>
          <w:sz w:val="30"/>
          <w:szCs w:val="30"/>
        </w:rPr>
      </w:pPr>
      <w:r>
        <w:rPr>
          <w:rFonts w:hint="eastAsia"/>
          <w:sz w:val="30"/>
          <w:szCs w:val="30"/>
        </w:rPr>
        <w:t>公诉机关为证明上述事实当庭出示了书证、物证、证人证言、鉴定结论、被告人供述等证据，并据此认为，被告人秦国辉身为国家工作人员，利用职务上的便利，非法占有公共财物，其行为触犯了《中华人民共和国刑法》第三百八十二条第一款之规定，应以贪污罪追究其刑事责任。且认为，秦国辉犯</w:t>
      </w:r>
      <w:r>
        <w:rPr>
          <w:rFonts w:hint="eastAsia"/>
          <w:sz w:val="30"/>
          <w:szCs w:val="30"/>
        </w:rPr>
        <w:lastRenderedPageBreak/>
        <w:t>罪后有自首情节，根据《中华人民共和国刑法》第六十七条第一款之规定，可以从轻或减轻处罚。提请本院依法判处。</w:t>
      </w:r>
    </w:p>
    <w:p w:rsidR="00755817" w:rsidRDefault="00755817">
      <w:pPr>
        <w:spacing w:line="500" w:lineRule="atLeast"/>
        <w:ind w:firstLine="600"/>
        <w:divId w:val="712997614"/>
        <w:rPr>
          <w:rFonts w:hint="eastAsia"/>
          <w:sz w:val="30"/>
          <w:szCs w:val="30"/>
        </w:rPr>
      </w:pPr>
      <w:r>
        <w:rPr>
          <w:rFonts w:hint="eastAsia"/>
          <w:sz w:val="30"/>
          <w:szCs w:val="30"/>
        </w:rPr>
        <w:t>被告人秦国辉对起诉指控的事实及罪名均无异议，辩称部分钱款购买了金条用于代表公司送给退休干部，表示悔罪，请求从轻处罚。辩护人提出以下辩护意见：⒈部分款项用于购买金条送给退休干部，秦国辉没有占为己有的主观目的和行为，该部分款项应从贪污数额中扣除；⒉秦国辉具有投案自首情节，赃款赃物已追回，没有给公司造成经济损失；⒊秦国辉身体状况有问题，请求对秦国辉减轻处罚，建议判处缓刑。</w:t>
      </w:r>
    </w:p>
    <w:p w:rsidR="00755817" w:rsidRDefault="00755817">
      <w:pPr>
        <w:spacing w:line="500" w:lineRule="atLeast"/>
        <w:ind w:firstLine="600"/>
        <w:divId w:val="69377230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年，被告人秦国辉在担任中国南方航空股份有限公司吉林分公司总经理期间，利用负责全面工作的职务便利，采用虚构支出的手段，套取公司人民币</w:t>
      </w:r>
      <w:r>
        <w:rPr>
          <w:rFonts w:hint="eastAsia"/>
          <w:sz w:val="30"/>
          <w:szCs w:val="30"/>
        </w:rPr>
        <w:t>656167.6</w:t>
      </w:r>
      <w:r>
        <w:rPr>
          <w:rFonts w:hint="eastAsia"/>
          <w:sz w:val="30"/>
          <w:szCs w:val="30"/>
        </w:rPr>
        <w:t>元占为己有，用于冲抵购买金条、端砚等花销。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日，秦国辉到广州市白云区人民检察院投案自首。案发后，秦国辉及家属已将全部涉案赃物赃款退赔给中国南方航空股份有限公司。</w:t>
      </w:r>
    </w:p>
    <w:p w:rsidR="00755817" w:rsidRDefault="00755817">
      <w:pPr>
        <w:spacing w:line="500" w:lineRule="atLeast"/>
        <w:ind w:firstLine="600"/>
        <w:divId w:val="143394610"/>
        <w:rPr>
          <w:rFonts w:hint="eastAsia"/>
          <w:sz w:val="30"/>
          <w:szCs w:val="30"/>
        </w:rPr>
      </w:pPr>
      <w:r>
        <w:rPr>
          <w:rFonts w:hint="eastAsia"/>
          <w:sz w:val="30"/>
          <w:szCs w:val="30"/>
        </w:rPr>
        <w:t>以上事实，有下列经庭审举证、质证并经本院予以确认的证据证实：被告人秦国辉的供述，证人张强、黄可、李宏军、黄苑雯、韩德弘、贾玉新、郭刚、胡安俊的证言，破案报告，中国南方航空股份有限公司吉林分公司企业法人营业执照，被告人秦国辉的身份材料、任职资料，发票，报销单，报销凭证，赃物照片，鉴定意见书。</w:t>
      </w:r>
    </w:p>
    <w:p w:rsidR="00755817" w:rsidRDefault="00755817">
      <w:pPr>
        <w:spacing w:line="500" w:lineRule="atLeast"/>
        <w:ind w:firstLine="600"/>
        <w:divId w:val="643242994"/>
        <w:rPr>
          <w:rFonts w:hint="eastAsia"/>
          <w:sz w:val="30"/>
          <w:szCs w:val="30"/>
        </w:rPr>
      </w:pPr>
      <w:r>
        <w:rPr>
          <w:rFonts w:hint="eastAsia"/>
          <w:sz w:val="30"/>
          <w:szCs w:val="30"/>
        </w:rPr>
        <w:t>本院认为，被告人秦国辉身为国家工作人员，无视国家法律，利用职务便利，侵吞公共财物，其行为已构成贪污罪。公诉机关指控被告人秦国辉犯贪污罪事实清楚，证据确实充分，罪名成立。被告人秦国辉的辩护人提出金条的价值应从贪污数额中扣除的意见，经查，秦国辉购买金条的行为，不属因公支出，属于其私人行为，因此秦国辉非法占有公款后的用途不影响其行为属贪污罪的定性，故上述意见于法无据，本院不予采纳。被告人秦国辉具有自首情节，依法可减轻处罚。辩护人就此提出相关意见，本院在量刑时综合考虑，但关于适用缓刑的意见，本院不予采纳。综合考虑被告人秦国辉犯罪行为的性质、情节、危害后果及认罪态度，本院决定对被告人秦国辉减轻处罚。依照《中华人民共和国刑法》第三百八十二条、第三百八十三条、第六十七条第一款、第五十九条之规定，判决如下：</w:t>
      </w:r>
    </w:p>
    <w:p w:rsidR="00755817" w:rsidRDefault="00755817">
      <w:pPr>
        <w:spacing w:line="500" w:lineRule="atLeast"/>
        <w:ind w:firstLine="600"/>
        <w:divId w:val="570888231"/>
        <w:rPr>
          <w:rFonts w:hint="eastAsia"/>
          <w:sz w:val="30"/>
          <w:szCs w:val="30"/>
        </w:rPr>
      </w:pPr>
      <w:r>
        <w:rPr>
          <w:rFonts w:hint="eastAsia"/>
          <w:sz w:val="30"/>
          <w:szCs w:val="30"/>
        </w:rPr>
        <w:t>被告人秦国辉犯贪污罪，判处有期徒刑六年六个月，并处没收财产十万元。（刑期从判决执行之日起计算。判决执行以前先行羁押的，羁押一日折抵刑期一日，即自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日止。被告人秦国辉暂扣于本院的人民币十万元，于本判决生效后迳行上缴国库。）</w:t>
      </w:r>
    </w:p>
    <w:p w:rsidR="00755817" w:rsidRDefault="00755817">
      <w:pPr>
        <w:spacing w:line="500" w:lineRule="atLeast"/>
        <w:ind w:firstLine="600"/>
        <w:divId w:val="628707627"/>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755817" w:rsidRDefault="00755817">
      <w:pPr>
        <w:spacing w:line="500" w:lineRule="atLeast"/>
        <w:jc w:val="right"/>
        <w:divId w:val="1951356369"/>
        <w:rPr>
          <w:rFonts w:hint="eastAsia"/>
          <w:sz w:val="30"/>
          <w:szCs w:val="30"/>
        </w:rPr>
      </w:pPr>
      <w:r>
        <w:rPr>
          <w:rFonts w:hint="eastAsia"/>
          <w:sz w:val="30"/>
          <w:szCs w:val="30"/>
        </w:rPr>
        <w:t>审　判　长　　林丽虹</w:t>
      </w:r>
    </w:p>
    <w:p w:rsidR="00755817" w:rsidRDefault="00755817">
      <w:pPr>
        <w:spacing w:line="500" w:lineRule="atLeast"/>
        <w:jc w:val="right"/>
        <w:divId w:val="1724526477"/>
        <w:rPr>
          <w:rFonts w:hint="eastAsia"/>
          <w:sz w:val="30"/>
          <w:szCs w:val="30"/>
        </w:rPr>
      </w:pPr>
      <w:r>
        <w:rPr>
          <w:rFonts w:hint="eastAsia"/>
          <w:sz w:val="30"/>
          <w:szCs w:val="30"/>
        </w:rPr>
        <w:t>人民陪审员　　刘　莲</w:t>
      </w:r>
    </w:p>
    <w:p w:rsidR="00755817" w:rsidRDefault="00755817">
      <w:pPr>
        <w:spacing w:line="500" w:lineRule="atLeast"/>
        <w:jc w:val="right"/>
        <w:divId w:val="1272662601"/>
        <w:rPr>
          <w:rFonts w:hint="eastAsia"/>
          <w:sz w:val="30"/>
          <w:szCs w:val="30"/>
        </w:rPr>
      </w:pPr>
      <w:r>
        <w:rPr>
          <w:rFonts w:hint="eastAsia"/>
          <w:sz w:val="30"/>
          <w:szCs w:val="30"/>
        </w:rPr>
        <w:t>人民陪审员　　王向慧</w:t>
      </w:r>
    </w:p>
    <w:p w:rsidR="00755817" w:rsidRDefault="00755817">
      <w:pPr>
        <w:spacing w:line="500" w:lineRule="atLeast"/>
        <w:jc w:val="right"/>
        <w:divId w:val="1824469317"/>
        <w:rPr>
          <w:rFonts w:hint="eastAsia"/>
          <w:sz w:val="30"/>
          <w:szCs w:val="30"/>
        </w:rPr>
      </w:pPr>
      <w:r>
        <w:rPr>
          <w:rFonts w:hint="eastAsia"/>
          <w:sz w:val="30"/>
          <w:szCs w:val="30"/>
        </w:rPr>
        <w:t>二〇一四年八月二十一日</w:t>
      </w:r>
    </w:p>
    <w:p w:rsidR="00755817" w:rsidRDefault="00755817">
      <w:pPr>
        <w:spacing w:line="500" w:lineRule="atLeast"/>
        <w:jc w:val="right"/>
        <w:divId w:val="673387488"/>
        <w:rPr>
          <w:rFonts w:hint="eastAsia"/>
          <w:sz w:val="30"/>
          <w:szCs w:val="30"/>
        </w:rPr>
      </w:pPr>
      <w:r>
        <w:rPr>
          <w:rFonts w:hint="eastAsia"/>
          <w:sz w:val="30"/>
          <w:szCs w:val="30"/>
        </w:rPr>
        <w:t>书　记　员　　龙筱晨</w:t>
      </w:r>
    </w:p>
    <w:p w:rsidR="00755817" w:rsidRDefault="00755817">
      <w:pPr>
        <w:spacing w:line="500" w:lineRule="atLeast"/>
        <w:ind w:firstLine="600"/>
        <w:divId w:val="2080052791"/>
        <w:rPr>
          <w:rFonts w:hint="eastAsia"/>
          <w:sz w:val="30"/>
          <w:szCs w:val="30"/>
        </w:rPr>
      </w:pPr>
      <w:r>
        <w:rPr>
          <w:rFonts w:hint="eastAsia"/>
          <w:sz w:val="30"/>
          <w:szCs w:val="30"/>
        </w:rPr>
        <w:t>附：有关法律规定</w:t>
      </w:r>
    </w:p>
    <w:p w:rsidR="00755817" w:rsidRDefault="00755817">
      <w:pPr>
        <w:spacing w:line="500" w:lineRule="atLeast"/>
        <w:ind w:firstLine="600"/>
        <w:divId w:val="1249730321"/>
        <w:rPr>
          <w:rFonts w:hint="eastAsia"/>
          <w:sz w:val="30"/>
          <w:szCs w:val="30"/>
        </w:rPr>
      </w:pPr>
      <w:r>
        <w:rPr>
          <w:rFonts w:hint="eastAsia"/>
          <w:sz w:val="30"/>
          <w:szCs w:val="30"/>
        </w:rPr>
        <w:t>中华人民共和国刑法</w:t>
      </w:r>
    </w:p>
    <w:p w:rsidR="00755817" w:rsidRDefault="00755817">
      <w:pPr>
        <w:spacing w:line="500" w:lineRule="atLeast"/>
        <w:ind w:firstLine="600"/>
        <w:divId w:val="1060398836"/>
        <w:rPr>
          <w:rFonts w:hint="eastAsia"/>
          <w:sz w:val="30"/>
          <w:szCs w:val="30"/>
        </w:rPr>
      </w:pPr>
      <w:r>
        <w:rPr>
          <w:rFonts w:hint="eastAsia"/>
          <w:sz w:val="30"/>
          <w:szCs w:val="30"/>
        </w:rPr>
        <w:t>第三百八十二条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w:t>
      </w:r>
      <w:r>
        <w:rPr>
          <w:rFonts w:hint="eastAsia"/>
          <w:sz w:val="30"/>
          <w:szCs w:val="30"/>
        </w:rPr>
        <w:t>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5817" w:rsidRDefault="00755817" w:rsidP="00755817">
      <w:pPr>
        <w:rPr>
          <w:rFonts w:hint="eastAsia"/>
        </w:rPr>
      </w:pPr>
      <w:r>
        <w:separator/>
      </w:r>
    </w:p>
  </w:endnote>
  <w:endnote w:type="continuationSeparator" w:id="0">
    <w:p w:rsidR="00755817" w:rsidRDefault="00755817" w:rsidP="007558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5817" w:rsidRDefault="00755817" w:rsidP="00755817">
      <w:pPr>
        <w:rPr>
          <w:rFonts w:hint="eastAsia"/>
        </w:rPr>
      </w:pPr>
      <w:r>
        <w:separator/>
      </w:r>
    </w:p>
  </w:footnote>
  <w:footnote w:type="continuationSeparator" w:id="0">
    <w:p w:rsidR="00755817" w:rsidRDefault="00755817" w:rsidP="007558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5817"/>
    <w:rsid w:val="007235DD"/>
    <w:rsid w:val="00755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5817"/>
    <w:pPr>
      <w:tabs>
        <w:tab w:val="center" w:pos="4153"/>
        <w:tab w:val="right" w:pos="8306"/>
      </w:tabs>
      <w:snapToGrid w:val="0"/>
      <w:jc w:val="center"/>
    </w:pPr>
    <w:rPr>
      <w:sz w:val="18"/>
      <w:szCs w:val="18"/>
    </w:rPr>
  </w:style>
  <w:style w:type="character" w:customStyle="1" w:styleId="a4">
    <w:name w:val="页眉 字符"/>
    <w:basedOn w:val="a0"/>
    <w:link w:val="a3"/>
    <w:uiPriority w:val="99"/>
    <w:rsid w:val="00755817"/>
    <w:rPr>
      <w:rFonts w:ascii="宋体" w:eastAsia="宋体" w:hAnsi="宋体" w:cs="宋体"/>
      <w:sz w:val="18"/>
      <w:szCs w:val="18"/>
    </w:rPr>
  </w:style>
  <w:style w:type="paragraph" w:styleId="a5">
    <w:name w:val="footer"/>
    <w:basedOn w:val="a"/>
    <w:link w:val="a6"/>
    <w:uiPriority w:val="99"/>
    <w:unhideWhenUsed/>
    <w:rsid w:val="00755817"/>
    <w:pPr>
      <w:tabs>
        <w:tab w:val="center" w:pos="4153"/>
        <w:tab w:val="right" w:pos="8306"/>
      </w:tabs>
      <w:snapToGrid w:val="0"/>
    </w:pPr>
    <w:rPr>
      <w:sz w:val="18"/>
      <w:szCs w:val="18"/>
    </w:rPr>
  </w:style>
  <w:style w:type="character" w:customStyle="1" w:styleId="a6">
    <w:name w:val="页脚 字符"/>
    <w:basedOn w:val="a0"/>
    <w:link w:val="a5"/>
    <w:uiPriority w:val="99"/>
    <w:rsid w:val="007558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2587">
      <w:marLeft w:val="0"/>
      <w:marRight w:val="0"/>
      <w:marTop w:val="10"/>
      <w:marBottom w:val="10"/>
      <w:divBdr>
        <w:top w:val="none" w:sz="0" w:space="0" w:color="auto"/>
        <w:left w:val="none" w:sz="0" w:space="0" w:color="auto"/>
        <w:bottom w:val="none" w:sz="0" w:space="0" w:color="auto"/>
        <w:right w:val="none" w:sz="0" w:space="0" w:color="auto"/>
      </w:divBdr>
    </w:div>
    <w:div w:id="143394610">
      <w:marLeft w:val="0"/>
      <w:marRight w:val="0"/>
      <w:marTop w:val="10"/>
      <w:marBottom w:val="10"/>
      <w:divBdr>
        <w:top w:val="none" w:sz="0" w:space="0" w:color="auto"/>
        <w:left w:val="none" w:sz="0" w:space="0" w:color="auto"/>
        <w:bottom w:val="none" w:sz="0" w:space="0" w:color="auto"/>
        <w:right w:val="none" w:sz="0" w:space="0" w:color="auto"/>
      </w:divBdr>
    </w:div>
    <w:div w:id="570888231">
      <w:marLeft w:val="0"/>
      <w:marRight w:val="0"/>
      <w:marTop w:val="10"/>
      <w:marBottom w:val="10"/>
      <w:divBdr>
        <w:top w:val="none" w:sz="0" w:space="0" w:color="auto"/>
        <w:left w:val="none" w:sz="0" w:space="0" w:color="auto"/>
        <w:bottom w:val="none" w:sz="0" w:space="0" w:color="auto"/>
        <w:right w:val="none" w:sz="0" w:space="0" w:color="auto"/>
      </w:divBdr>
    </w:div>
    <w:div w:id="628707627">
      <w:marLeft w:val="0"/>
      <w:marRight w:val="0"/>
      <w:marTop w:val="10"/>
      <w:marBottom w:val="10"/>
      <w:divBdr>
        <w:top w:val="none" w:sz="0" w:space="0" w:color="auto"/>
        <w:left w:val="none" w:sz="0" w:space="0" w:color="auto"/>
        <w:bottom w:val="none" w:sz="0" w:space="0" w:color="auto"/>
        <w:right w:val="none" w:sz="0" w:space="0" w:color="auto"/>
      </w:divBdr>
    </w:div>
    <w:div w:id="643242994">
      <w:marLeft w:val="0"/>
      <w:marRight w:val="0"/>
      <w:marTop w:val="10"/>
      <w:marBottom w:val="10"/>
      <w:divBdr>
        <w:top w:val="none" w:sz="0" w:space="0" w:color="auto"/>
        <w:left w:val="none" w:sz="0" w:space="0" w:color="auto"/>
        <w:bottom w:val="none" w:sz="0" w:space="0" w:color="auto"/>
        <w:right w:val="none" w:sz="0" w:space="0" w:color="auto"/>
      </w:divBdr>
    </w:div>
    <w:div w:id="673387488">
      <w:marLeft w:val="0"/>
      <w:marRight w:val="720"/>
      <w:marTop w:val="10"/>
      <w:marBottom w:val="10"/>
      <w:divBdr>
        <w:top w:val="none" w:sz="0" w:space="0" w:color="auto"/>
        <w:left w:val="none" w:sz="0" w:space="0" w:color="auto"/>
        <w:bottom w:val="none" w:sz="0" w:space="0" w:color="auto"/>
        <w:right w:val="none" w:sz="0" w:space="0" w:color="auto"/>
      </w:divBdr>
    </w:div>
    <w:div w:id="693772300">
      <w:marLeft w:val="0"/>
      <w:marRight w:val="0"/>
      <w:marTop w:val="10"/>
      <w:marBottom w:val="10"/>
      <w:divBdr>
        <w:top w:val="none" w:sz="0" w:space="0" w:color="auto"/>
        <w:left w:val="none" w:sz="0" w:space="0" w:color="auto"/>
        <w:bottom w:val="none" w:sz="0" w:space="0" w:color="auto"/>
        <w:right w:val="none" w:sz="0" w:space="0" w:color="auto"/>
      </w:divBdr>
    </w:div>
    <w:div w:id="712997614">
      <w:marLeft w:val="0"/>
      <w:marRight w:val="0"/>
      <w:marTop w:val="10"/>
      <w:marBottom w:val="10"/>
      <w:divBdr>
        <w:top w:val="none" w:sz="0" w:space="0" w:color="auto"/>
        <w:left w:val="none" w:sz="0" w:space="0" w:color="auto"/>
        <w:bottom w:val="none" w:sz="0" w:space="0" w:color="auto"/>
        <w:right w:val="none" w:sz="0" w:space="0" w:color="auto"/>
      </w:divBdr>
    </w:div>
    <w:div w:id="753163348">
      <w:marLeft w:val="0"/>
      <w:marRight w:val="0"/>
      <w:marTop w:val="10"/>
      <w:marBottom w:val="10"/>
      <w:divBdr>
        <w:top w:val="none" w:sz="0" w:space="0" w:color="auto"/>
        <w:left w:val="none" w:sz="0" w:space="0" w:color="auto"/>
        <w:bottom w:val="none" w:sz="0" w:space="0" w:color="auto"/>
        <w:right w:val="none" w:sz="0" w:space="0" w:color="auto"/>
      </w:divBdr>
    </w:div>
    <w:div w:id="767702867">
      <w:marLeft w:val="0"/>
      <w:marRight w:val="0"/>
      <w:marTop w:val="10"/>
      <w:marBottom w:val="10"/>
      <w:divBdr>
        <w:top w:val="none" w:sz="0" w:space="0" w:color="auto"/>
        <w:left w:val="none" w:sz="0" w:space="0" w:color="auto"/>
        <w:bottom w:val="none" w:sz="0" w:space="0" w:color="auto"/>
        <w:right w:val="none" w:sz="0" w:space="0" w:color="auto"/>
      </w:divBdr>
    </w:div>
    <w:div w:id="904222962">
      <w:marLeft w:val="0"/>
      <w:marRight w:val="0"/>
      <w:marTop w:val="10"/>
      <w:marBottom w:val="10"/>
      <w:divBdr>
        <w:top w:val="none" w:sz="0" w:space="0" w:color="auto"/>
        <w:left w:val="none" w:sz="0" w:space="0" w:color="auto"/>
        <w:bottom w:val="none" w:sz="0" w:space="0" w:color="auto"/>
        <w:right w:val="none" w:sz="0" w:space="0" w:color="auto"/>
      </w:divBdr>
    </w:div>
    <w:div w:id="1060398836">
      <w:marLeft w:val="0"/>
      <w:marRight w:val="0"/>
      <w:marTop w:val="10"/>
      <w:marBottom w:val="10"/>
      <w:divBdr>
        <w:top w:val="none" w:sz="0" w:space="0" w:color="auto"/>
        <w:left w:val="none" w:sz="0" w:space="0" w:color="auto"/>
        <w:bottom w:val="none" w:sz="0" w:space="0" w:color="auto"/>
        <w:right w:val="none" w:sz="0" w:space="0" w:color="auto"/>
      </w:divBdr>
    </w:div>
    <w:div w:id="1249730321">
      <w:marLeft w:val="0"/>
      <w:marRight w:val="0"/>
      <w:marTop w:val="10"/>
      <w:marBottom w:val="10"/>
      <w:divBdr>
        <w:top w:val="none" w:sz="0" w:space="0" w:color="auto"/>
        <w:left w:val="none" w:sz="0" w:space="0" w:color="auto"/>
        <w:bottom w:val="none" w:sz="0" w:space="0" w:color="auto"/>
        <w:right w:val="none" w:sz="0" w:space="0" w:color="auto"/>
      </w:divBdr>
    </w:div>
    <w:div w:id="1272662601">
      <w:marLeft w:val="0"/>
      <w:marRight w:val="720"/>
      <w:marTop w:val="10"/>
      <w:marBottom w:val="10"/>
      <w:divBdr>
        <w:top w:val="none" w:sz="0" w:space="0" w:color="auto"/>
        <w:left w:val="none" w:sz="0" w:space="0" w:color="auto"/>
        <w:bottom w:val="none" w:sz="0" w:space="0" w:color="auto"/>
        <w:right w:val="none" w:sz="0" w:space="0" w:color="auto"/>
      </w:divBdr>
    </w:div>
    <w:div w:id="1355153521">
      <w:marLeft w:val="0"/>
      <w:marRight w:val="0"/>
      <w:marTop w:val="10"/>
      <w:marBottom w:val="10"/>
      <w:divBdr>
        <w:top w:val="none" w:sz="0" w:space="0" w:color="auto"/>
        <w:left w:val="none" w:sz="0" w:space="0" w:color="auto"/>
        <w:bottom w:val="none" w:sz="0" w:space="0" w:color="auto"/>
        <w:right w:val="none" w:sz="0" w:space="0" w:color="auto"/>
      </w:divBdr>
    </w:div>
    <w:div w:id="1362628499">
      <w:marLeft w:val="0"/>
      <w:marRight w:val="0"/>
      <w:marTop w:val="10"/>
      <w:marBottom w:val="10"/>
      <w:divBdr>
        <w:top w:val="none" w:sz="0" w:space="0" w:color="auto"/>
        <w:left w:val="none" w:sz="0" w:space="0" w:color="auto"/>
        <w:bottom w:val="none" w:sz="0" w:space="0" w:color="auto"/>
        <w:right w:val="none" w:sz="0" w:space="0" w:color="auto"/>
      </w:divBdr>
    </w:div>
    <w:div w:id="1724526477">
      <w:marLeft w:val="0"/>
      <w:marRight w:val="720"/>
      <w:marTop w:val="10"/>
      <w:marBottom w:val="10"/>
      <w:divBdr>
        <w:top w:val="none" w:sz="0" w:space="0" w:color="auto"/>
        <w:left w:val="none" w:sz="0" w:space="0" w:color="auto"/>
        <w:bottom w:val="none" w:sz="0" w:space="0" w:color="auto"/>
        <w:right w:val="none" w:sz="0" w:space="0" w:color="auto"/>
      </w:divBdr>
    </w:div>
    <w:div w:id="1802116099">
      <w:marLeft w:val="0"/>
      <w:marRight w:val="0"/>
      <w:marTop w:val="10"/>
      <w:marBottom w:val="10"/>
      <w:divBdr>
        <w:top w:val="none" w:sz="0" w:space="0" w:color="auto"/>
        <w:left w:val="none" w:sz="0" w:space="0" w:color="auto"/>
        <w:bottom w:val="none" w:sz="0" w:space="0" w:color="auto"/>
        <w:right w:val="none" w:sz="0" w:space="0" w:color="auto"/>
      </w:divBdr>
    </w:div>
    <w:div w:id="1824469317">
      <w:marLeft w:val="0"/>
      <w:marRight w:val="720"/>
      <w:marTop w:val="10"/>
      <w:marBottom w:val="10"/>
      <w:divBdr>
        <w:top w:val="none" w:sz="0" w:space="0" w:color="auto"/>
        <w:left w:val="none" w:sz="0" w:space="0" w:color="auto"/>
        <w:bottom w:val="none" w:sz="0" w:space="0" w:color="auto"/>
        <w:right w:val="none" w:sz="0" w:space="0" w:color="auto"/>
      </w:divBdr>
    </w:div>
    <w:div w:id="1951356369">
      <w:marLeft w:val="0"/>
      <w:marRight w:val="720"/>
      <w:marTop w:val="10"/>
      <w:marBottom w:val="10"/>
      <w:divBdr>
        <w:top w:val="none" w:sz="0" w:space="0" w:color="auto"/>
        <w:left w:val="none" w:sz="0" w:space="0" w:color="auto"/>
        <w:bottom w:val="none" w:sz="0" w:space="0" w:color="auto"/>
        <w:right w:val="none" w:sz="0" w:space="0" w:color="auto"/>
      </w:divBdr>
    </w:div>
    <w:div w:id="2080052791">
      <w:marLeft w:val="0"/>
      <w:marRight w:val="0"/>
      <w:marTop w:val="10"/>
      <w:marBottom w:val="10"/>
      <w:divBdr>
        <w:top w:val="none" w:sz="0" w:space="0" w:color="auto"/>
        <w:left w:val="none" w:sz="0" w:space="0" w:color="auto"/>
        <w:bottom w:val="none" w:sz="0" w:space="0" w:color="auto"/>
        <w:right w:val="none" w:sz="0" w:space="0" w:color="auto"/>
      </w:divBdr>
    </w:div>
    <w:div w:id="2111972045">
      <w:marLeft w:val="0"/>
      <w:marRight w:val="0"/>
      <w:marTop w:val="10"/>
      <w:marBottom w:val="10"/>
      <w:divBdr>
        <w:top w:val="none" w:sz="0" w:space="0" w:color="auto"/>
        <w:left w:val="none" w:sz="0" w:space="0" w:color="auto"/>
        <w:bottom w:val="none" w:sz="0" w:space="0" w:color="auto"/>
        <w:right w:val="none" w:sz="0" w:space="0" w:color="auto"/>
      </w:divBdr>
    </w:div>
    <w:div w:id="21373314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