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0086" w:rsidRDefault="00440086">
      <w:pPr>
        <w:spacing w:line="500" w:lineRule="atLeast"/>
        <w:jc w:val="center"/>
        <w:divId w:val="1609775911"/>
        <w:rPr>
          <w:rFonts w:ascii="黑体" w:eastAsia="黑体" w:hAnsi="黑体"/>
          <w:sz w:val="36"/>
          <w:szCs w:val="36"/>
        </w:rPr>
      </w:pPr>
      <w:r>
        <w:rPr>
          <w:rFonts w:ascii="黑体" w:eastAsia="黑体" w:hAnsi="黑体" w:hint="eastAsia"/>
          <w:sz w:val="36"/>
          <w:szCs w:val="36"/>
        </w:rPr>
        <w:t>广东省广州市中级人民法院</w:t>
      </w:r>
    </w:p>
    <w:p w:rsidR="00440086" w:rsidRDefault="00440086">
      <w:pPr>
        <w:spacing w:line="500" w:lineRule="atLeast"/>
        <w:jc w:val="center"/>
        <w:divId w:val="14338941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0086" w:rsidRDefault="00440086">
      <w:pPr>
        <w:spacing w:line="500" w:lineRule="atLeast"/>
        <w:jc w:val="right"/>
        <w:divId w:val="160703723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1858</w:t>
      </w:r>
      <w:r>
        <w:rPr>
          <w:rFonts w:hint="eastAsia"/>
          <w:sz w:val="30"/>
          <w:szCs w:val="30"/>
        </w:rPr>
        <w:t>号</w:t>
      </w:r>
    </w:p>
    <w:p w:rsidR="00440086" w:rsidRDefault="00440086">
      <w:pPr>
        <w:spacing w:line="500" w:lineRule="atLeast"/>
        <w:ind w:firstLine="600"/>
        <w:divId w:val="996415591"/>
        <w:rPr>
          <w:rFonts w:hint="eastAsia"/>
          <w:sz w:val="30"/>
          <w:szCs w:val="30"/>
        </w:rPr>
      </w:pPr>
      <w:r>
        <w:rPr>
          <w:rFonts w:hint="eastAsia"/>
          <w:sz w:val="30"/>
          <w:szCs w:val="30"/>
        </w:rPr>
        <w:t>原公诉机关广州市黄埔区人民检察院。</w:t>
      </w:r>
    </w:p>
    <w:p w:rsidR="00440086" w:rsidRDefault="00440086">
      <w:pPr>
        <w:spacing w:line="500" w:lineRule="atLeast"/>
        <w:ind w:firstLine="600"/>
        <w:divId w:val="884676538"/>
        <w:rPr>
          <w:rFonts w:hint="eastAsia"/>
          <w:sz w:val="30"/>
          <w:szCs w:val="30"/>
        </w:rPr>
      </w:pPr>
      <w:r>
        <w:rPr>
          <w:rFonts w:hint="eastAsia"/>
          <w:sz w:val="30"/>
          <w:szCs w:val="30"/>
        </w:rPr>
        <w:t>上诉人（原审被告人）程某甲，出生地广州市，原系广州市黄埔区鱼珠街茅岗第四股份经济合作社社长，户籍所在地广州市黄埔区。因涉嫌犯受贿罪，于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25</w:t>
      </w:r>
      <w:r>
        <w:rPr>
          <w:rFonts w:hint="eastAsia"/>
          <w:sz w:val="30"/>
          <w:szCs w:val="30"/>
        </w:rPr>
        <w:t>日被逮捕，现羁押于广州市黄埔区看守所。</w:t>
      </w:r>
    </w:p>
    <w:p w:rsidR="00440086" w:rsidRDefault="00440086">
      <w:pPr>
        <w:spacing w:line="500" w:lineRule="atLeast"/>
        <w:ind w:firstLine="600"/>
        <w:divId w:val="1256330617"/>
        <w:rPr>
          <w:rFonts w:hint="eastAsia"/>
          <w:sz w:val="30"/>
          <w:szCs w:val="30"/>
        </w:rPr>
      </w:pPr>
      <w:r>
        <w:rPr>
          <w:rFonts w:hint="eastAsia"/>
          <w:sz w:val="30"/>
          <w:szCs w:val="30"/>
        </w:rPr>
        <w:t>辩护人蒋崇涛、李群龙，广东尹远律师事务所律师。</w:t>
      </w:r>
    </w:p>
    <w:p w:rsidR="00440086" w:rsidRDefault="00440086">
      <w:pPr>
        <w:spacing w:line="500" w:lineRule="atLeast"/>
        <w:ind w:firstLine="600"/>
        <w:divId w:val="1657680403"/>
        <w:rPr>
          <w:rFonts w:hint="eastAsia"/>
          <w:sz w:val="30"/>
          <w:szCs w:val="30"/>
        </w:rPr>
      </w:pPr>
      <w:r>
        <w:rPr>
          <w:rFonts w:hint="eastAsia"/>
          <w:sz w:val="30"/>
          <w:szCs w:val="30"/>
        </w:rPr>
        <w:t>广州市黄埔区人民法院审理广州市黄埔区人民检察院指控原审被告人程某甲犯受贿罪、非国家工作人员受贿罪一案，于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467</w:t>
      </w:r>
      <w:r>
        <w:rPr>
          <w:rFonts w:hint="eastAsia"/>
          <w:sz w:val="30"/>
          <w:szCs w:val="30"/>
        </w:rPr>
        <w:t>号刑事判决。程某甲不服，提出上诉。本院依法组成合议庭，经过阅卷、讯问上诉人程某甲、听取辩护人蒋崇涛、李群龙的辩护意见，认为本案事实清楚，决定不开庭审理。现已审理终结。</w:t>
      </w:r>
    </w:p>
    <w:p w:rsidR="00440086" w:rsidRDefault="00440086">
      <w:pPr>
        <w:spacing w:line="500" w:lineRule="atLeast"/>
        <w:divId w:val="410812356"/>
        <w:rPr>
          <w:rFonts w:hint="eastAsia"/>
          <w:sz w:val="30"/>
          <w:szCs w:val="30"/>
        </w:rPr>
      </w:pPr>
      <w:r>
        <w:rPr>
          <w:rFonts w:hint="eastAsia"/>
          <w:sz w:val="30"/>
          <w:szCs w:val="30"/>
        </w:rPr>
        <w:t>原审法院认定：</w:t>
      </w:r>
    </w:p>
    <w:p w:rsidR="00440086" w:rsidRDefault="00440086">
      <w:pPr>
        <w:spacing w:line="500" w:lineRule="atLeast"/>
        <w:ind w:firstLine="600"/>
        <w:divId w:val="1016158046"/>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程某甲在担任广州市黄埔区鱼珠街茅某第四股份经济合作社（以下简称“茅某四社”）社长期间，在广州市轨道交通五号线建设和黄埔大道支线（立交）建设征用茅某四社所属的风车片集体土地及上附物业过程中，通过隐瞒建筑物产权属性、虚假申报物业建设时间等方式违规为物业承租人程某乙（另案处理）办理产权证，使程某乙获取了巨额的征地拆迁补偿费用，并利用其作为茅某四社社长的职务便利为程某乙申请并获取了搬迁费和搬迁奖励费，先后三次共收受程某乙贿送的好处费人民币现金</w:t>
      </w:r>
      <w:r>
        <w:rPr>
          <w:rFonts w:hint="eastAsia"/>
          <w:sz w:val="30"/>
          <w:szCs w:val="30"/>
        </w:rPr>
        <w:t>101.75</w:t>
      </w:r>
      <w:r>
        <w:rPr>
          <w:rFonts w:hint="eastAsia"/>
          <w:sz w:val="30"/>
          <w:szCs w:val="30"/>
        </w:rPr>
        <w:t>万元。</w:t>
      </w:r>
    </w:p>
    <w:p w:rsidR="00440086" w:rsidRDefault="00440086">
      <w:pPr>
        <w:spacing w:line="500" w:lineRule="atLeast"/>
        <w:ind w:firstLine="600"/>
        <w:divId w:val="1437096884"/>
        <w:rPr>
          <w:rFonts w:hint="eastAsia"/>
          <w:sz w:val="30"/>
          <w:szCs w:val="30"/>
        </w:rPr>
      </w:pPr>
      <w:r>
        <w:rPr>
          <w:rFonts w:hint="eastAsia"/>
          <w:sz w:val="30"/>
          <w:szCs w:val="30"/>
        </w:rPr>
        <w:lastRenderedPageBreak/>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程某甲在担任茅某四社社长期间，利用其作为经济社社长而具有的管理经济社集体物业和经济合同等负责经济社全面工作的职务便利，为周某甲文、林某（均另案处理）等人在承租、经营茅某四社集体土地、物业过程中，为他人续租物业的方面提供帮助，前后收受周学文贿送的好处费人民币</w:t>
      </w:r>
      <w:r>
        <w:rPr>
          <w:rFonts w:hint="eastAsia"/>
          <w:sz w:val="30"/>
          <w:szCs w:val="30"/>
        </w:rPr>
        <w:t>3</w:t>
      </w:r>
      <w:r>
        <w:rPr>
          <w:rFonts w:hint="eastAsia"/>
          <w:sz w:val="30"/>
          <w:szCs w:val="30"/>
        </w:rPr>
        <w:t>万元、广州市粤旺物业管理有限公司的代表林少英经手贿送的好处费人民币</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年中秋节前，程某甲将</w:t>
      </w:r>
      <w:r>
        <w:rPr>
          <w:rFonts w:hint="eastAsia"/>
          <w:sz w:val="30"/>
          <w:szCs w:val="30"/>
        </w:rPr>
        <w:t>3</w:t>
      </w:r>
      <w:r>
        <w:rPr>
          <w:rFonts w:hint="eastAsia"/>
          <w:sz w:val="30"/>
          <w:szCs w:val="30"/>
        </w:rPr>
        <w:t>万元退还给周某甲文。</w:t>
      </w:r>
    </w:p>
    <w:p w:rsidR="00440086" w:rsidRDefault="00440086">
      <w:pPr>
        <w:spacing w:line="500" w:lineRule="atLeast"/>
        <w:ind w:firstLine="600"/>
        <w:divId w:val="482433319"/>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日，被告人程某甲主动向广州市黄埔区人民检察院投案，如实供述了自己的主要犯罪事实，并退缴了赃款人民币</w:t>
      </w:r>
      <w:r>
        <w:rPr>
          <w:rFonts w:hint="eastAsia"/>
          <w:sz w:val="30"/>
          <w:szCs w:val="30"/>
        </w:rPr>
        <w:t>10</w:t>
      </w:r>
      <w:r>
        <w:rPr>
          <w:rFonts w:hint="eastAsia"/>
          <w:sz w:val="30"/>
          <w:szCs w:val="30"/>
        </w:rPr>
        <w:t>万元。</w:t>
      </w:r>
    </w:p>
    <w:p w:rsidR="00440086" w:rsidRDefault="00440086">
      <w:pPr>
        <w:spacing w:line="500" w:lineRule="atLeast"/>
        <w:ind w:firstLine="600"/>
        <w:divId w:val="1650937812"/>
        <w:rPr>
          <w:rFonts w:hint="eastAsia"/>
          <w:sz w:val="30"/>
          <w:szCs w:val="30"/>
        </w:rPr>
      </w:pPr>
      <w:r>
        <w:rPr>
          <w:rFonts w:hint="eastAsia"/>
          <w:sz w:val="30"/>
          <w:szCs w:val="30"/>
        </w:rPr>
        <w:t>原审法院以原公诉机关提供并由公诉人当庭宣读、出示并经质证的组织机构代码证、选举公告、租赁合同、租赁协议、转让合同书、承包合同书、项目合作合同书、补充协议、征地拆迁工程委托合同、鉴证书、会议记录、会议纪要、函件、拆迁补偿协议、征地拆迁补偿分配表、借款协议、收据、借据、进账单、支付证明单、发票、记账凭证、公有房屋及用地登记申请材料、行政处理决定书、银行账户历史明细、扣押决定书、查封</w:t>
      </w:r>
      <w:r>
        <w:rPr>
          <w:rFonts w:hint="eastAsia"/>
          <w:sz w:val="30"/>
          <w:szCs w:val="30"/>
        </w:rPr>
        <w:t>/</w:t>
      </w:r>
      <w:r>
        <w:rPr>
          <w:rFonts w:hint="eastAsia"/>
          <w:sz w:val="30"/>
          <w:szCs w:val="30"/>
        </w:rPr>
        <w:t>扣押财物、文件清单、暂时扣留、冻结财物收据、常住人口信息查询资料，证人陆某、周某乙、彭某甲、彭某乙、罗某、彭某丙、程某乙、张某、程某丙的证言，同案人程某乙、林某、周某甲文的供述，广州市黄埔区鱼珠街茅某股份经济联合社、广州市黄埔区鱼珠街茅某社区居民委员会出具的情况说明、报告，破案报告，被告人程某甲的供述等作为认定上述事实的证据。</w:t>
      </w:r>
    </w:p>
    <w:p w:rsidR="00440086" w:rsidRDefault="00440086">
      <w:pPr>
        <w:spacing w:line="500" w:lineRule="atLeast"/>
        <w:ind w:firstLine="600"/>
        <w:divId w:val="281544425"/>
        <w:rPr>
          <w:rFonts w:hint="eastAsia"/>
          <w:sz w:val="30"/>
          <w:szCs w:val="30"/>
        </w:rPr>
      </w:pPr>
      <w:r>
        <w:rPr>
          <w:rFonts w:hint="eastAsia"/>
          <w:sz w:val="30"/>
          <w:szCs w:val="30"/>
        </w:rPr>
        <w:t>原审法院认为，被告人程某甲身为单位工作人员，利用职务上的便利为他人谋取利益，非法收受他人财物归个人所有，其行为已构成非国家工作人员受贿罪，且数额巨大。公诉机关指控程某甲犯罪的事实清楚，证据确实、充分，但指控程某甲收受程某乙贿送好处费的行为构成受贿罪不当，予以纠正，理由如下：根据相关法律规定，村民委员会等村基层组织人员协助人民政府从事行政管理工作时，属于刑法第九十三条第二款规定的“其他依照法律从事公务的人员”，以国家工作人员论。从事公务是指代表国家机关、国有公司、企业、事业单位、人民团体等履行组织、领导、监督、管理等职责。因此对于村基层组织人员，是否属于“其他依照法律从事公务的人员”，关键在于其是否协助人民政府从事行政管理工作，其行为是否属于代表国家机关从事公务。公诉机关指控程某甲具有协助人民政府进行土地征收、征用补偿费用管理等工作的职务便利。经查，公诉机关指控程某甲收受程某乙人民币</w:t>
      </w:r>
      <w:r>
        <w:rPr>
          <w:rFonts w:hint="eastAsia"/>
          <w:sz w:val="30"/>
          <w:szCs w:val="30"/>
        </w:rPr>
        <w:t>101.75</w:t>
      </w:r>
      <w:r>
        <w:rPr>
          <w:rFonts w:hint="eastAsia"/>
          <w:sz w:val="30"/>
          <w:szCs w:val="30"/>
        </w:rPr>
        <w:t>万元的这一部分犯罪事实中，根据程某甲及同案人程某乙的供述，程某乙贿送上述好处费给程某甲主要是因为程某甲作为茅某四社的社长，帮助程某乙违规办理仓库物业产权证和帮助程某乙争取搬迁费、搬迁奖励费，认定程某甲的行为是否构成受贿罪的关键在于：程某甲在实施上述帮助程某乙的行为过程中，是否基于其协助人民政府从事征地拆迁工作的行政管理职责而实施上述行为。首先，关于违规办理仓库物业产权证。是否同意将程某乙的仓库物业和茅某四社的集体物业一起办理集体物业产权证，并不需要程某甲具有协助人民政府从事征地拆迁工作的职务便利，而利用的是作为茅某四社社长的职务便利，此一事务也是茅某四社内部的事务。其次，关于程某甲帮助程某乙争取搬迁费、搬迁奖励费。根据茅某四社会议记录、广州市地下铁道总公司会议纪要及广州市黄埔区鱼珠街茅某社区居民委员会出具的《关于茅某四社经营土地补偿的报告》等证据显示，搬迁费、搬迁奖励费的申请都是由茅某四社内部社员、租户提出，经过社委和全体社员会议开会讨论通过，再由担任茅某四社社长的程某甲以茅某四社的名义递交申请，程某甲递交申请的行为是其履行经济社内部职务的行为。在有征地单位人员参与的相关会议中，程某甲均是以社长身</w:t>
      </w:r>
      <w:r>
        <w:rPr>
          <w:rFonts w:hint="eastAsia"/>
          <w:sz w:val="30"/>
          <w:szCs w:val="30"/>
        </w:rPr>
        <w:t>份代表本社被拆迁户的利益提出提高补偿标准的意见，</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日向黄埔区重点工程建设办公室提交的《关于茅某四社经营土地补偿的报告》并实际得到人民币</w:t>
      </w:r>
      <w:r>
        <w:rPr>
          <w:rFonts w:hint="eastAsia"/>
          <w:sz w:val="30"/>
          <w:szCs w:val="30"/>
        </w:rPr>
        <w:t>180</w:t>
      </w:r>
      <w:r>
        <w:rPr>
          <w:rFonts w:hint="eastAsia"/>
          <w:sz w:val="30"/>
          <w:szCs w:val="30"/>
        </w:rPr>
        <w:t>万元的增加补偿款，亦是代表茅某四社提出适当提高征地拆迁补偿标准的要求，而非代表国家机关从事公务，其行使的是其作为茅某四社社长的职权，而非行使协助政府征地拆迁行政管理工作的职权。第三，关于程某甲是否具有协助人民政府进行土地征收行政管理工作的职责。本案并无相关文件证明在广州市轨道交通五号线建设和黄埔大道支线（立交）建设征地拆迁过程中，程某甲被赋予了协助政府从事上述征地拆迁的行政管理工作职责，广州市黄埔区鱼珠街茅某股份经济联合社和广州市黄埔区代建项目管理中心出具的《情况说明》是在拆迁工作完成后事后出具，对当时的情况不具有证明力，本案没有当时的文件来证明程某甲作为被拆迁单位代表是否具有协助政府从事征地拆迁行政管理工作的职责，更没有文件规定被拆迁单位代表协助征地拆迁工作具体有哪些方面的职责，因此不能根据上述事后出具的文件认定程某甲当时具有协助人民政府从事征地拆迁工作的行政管理职责。综上，程某甲作为茅某四社的社长，是利用了其作为社长的职务便利，帮助程某乙违规办理仓库物</w:t>
      </w:r>
      <w:r>
        <w:rPr>
          <w:rFonts w:hint="eastAsia"/>
          <w:sz w:val="30"/>
          <w:szCs w:val="30"/>
        </w:rPr>
        <w:t>业产权证和帮助程某乙争取搬迁费、搬迁奖励费，本案没有证据证实程某甲具有协助人民政府从事征地拆迁工作的行政管理职责，是代表国家从事公务的人员，因此不能认定程某甲属于“其他依照法律从事公务的人员”，故公诉机关指控程某甲收受程某乙人民币</w:t>
      </w:r>
      <w:r>
        <w:rPr>
          <w:rFonts w:hint="eastAsia"/>
          <w:sz w:val="30"/>
          <w:szCs w:val="30"/>
        </w:rPr>
        <w:t>101.75</w:t>
      </w:r>
      <w:r>
        <w:rPr>
          <w:rFonts w:hint="eastAsia"/>
          <w:sz w:val="30"/>
          <w:szCs w:val="30"/>
        </w:rPr>
        <w:t>万元的犯罪行为应认定为构成非国家工作人员受贿罪。查明的量刑情节包括：</w:t>
      </w:r>
      <w:r>
        <w:rPr>
          <w:rFonts w:hint="eastAsia"/>
          <w:sz w:val="30"/>
          <w:szCs w:val="30"/>
        </w:rPr>
        <w:t>1.</w:t>
      </w:r>
      <w:r>
        <w:rPr>
          <w:rFonts w:hint="eastAsia"/>
          <w:sz w:val="30"/>
          <w:szCs w:val="30"/>
        </w:rPr>
        <w:t>程某甲犯罪以后自动投案，如实供述自己罪行，是自首，依法可以从轻或者减轻处罚。</w:t>
      </w:r>
      <w:r>
        <w:rPr>
          <w:rFonts w:hint="eastAsia"/>
          <w:sz w:val="30"/>
          <w:szCs w:val="30"/>
        </w:rPr>
        <w:t>2.</w:t>
      </w:r>
      <w:r>
        <w:rPr>
          <w:rFonts w:hint="eastAsia"/>
          <w:sz w:val="30"/>
          <w:szCs w:val="30"/>
        </w:rPr>
        <w:t>程某甲退还、退缴了部分违法所得，可以酌情从轻处罚。综上，决定对程某甲减轻处罚。对于被告人及辩护人提出程某甲不构成受贿罪的辩解及辩护意见，予以采纳，理由如前文所述。辩护人提出程某甲有自首情节、积极主动退还、退缴了部分赃款、是初犯的辩护意见经查属实，予以采纳。综上所述，依照《中华人民共和国刑法》第一百六十三条第一款、第六十七条第一款、第六十四条以及《最高人民法院、最高人民检察院关于办理贪污贿赂刑事案件适用法律若干问题的解释》第二条第一款、第十一条第一款、《最高人民法院关于处理自首和立功具体应用法律若干问题的解释》第一条、第三条之规定，判决如下：一、被告人程某甲犯非国家工作人员受贿罪，判处有期徒刑四年六个月；二、追缴被告人程某甲</w:t>
      </w:r>
      <w:r>
        <w:rPr>
          <w:rFonts w:hint="eastAsia"/>
          <w:sz w:val="30"/>
          <w:szCs w:val="30"/>
        </w:rPr>
        <w:t>的违法所得人民币</w:t>
      </w:r>
      <w:r>
        <w:rPr>
          <w:rFonts w:hint="eastAsia"/>
          <w:sz w:val="30"/>
          <w:szCs w:val="30"/>
        </w:rPr>
        <w:t>10</w:t>
      </w:r>
      <w:r>
        <w:rPr>
          <w:rFonts w:hint="eastAsia"/>
          <w:sz w:val="30"/>
          <w:szCs w:val="30"/>
        </w:rPr>
        <w:t>万元，上缴国库（由广东省广州市黄埔区人民检察院执行）；三、继续追缴被告人程某甲的违法所得人民币</w:t>
      </w:r>
      <w:r>
        <w:rPr>
          <w:rFonts w:hint="eastAsia"/>
          <w:sz w:val="30"/>
          <w:szCs w:val="30"/>
        </w:rPr>
        <w:t>111.75</w:t>
      </w:r>
      <w:r>
        <w:rPr>
          <w:rFonts w:hint="eastAsia"/>
          <w:sz w:val="30"/>
          <w:szCs w:val="30"/>
        </w:rPr>
        <w:t>万元，上缴国库。</w:t>
      </w:r>
    </w:p>
    <w:p w:rsidR="00440086" w:rsidRDefault="00440086">
      <w:pPr>
        <w:spacing w:line="500" w:lineRule="atLeast"/>
        <w:ind w:firstLine="600"/>
        <w:divId w:val="295380948"/>
        <w:rPr>
          <w:rFonts w:hint="eastAsia"/>
          <w:sz w:val="30"/>
          <w:szCs w:val="30"/>
        </w:rPr>
      </w:pPr>
      <w:r>
        <w:rPr>
          <w:rFonts w:hint="eastAsia"/>
          <w:sz w:val="30"/>
          <w:szCs w:val="30"/>
        </w:rPr>
        <w:t>上诉人程某甲对原判决认定的事实和定罪均不持异议，上诉称：原判决对其量刑过重，希望二审法院判处其缓刑。</w:t>
      </w:r>
    </w:p>
    <w:p w:rsidR="00440086" w:rsidRDefault="00440086">
      <w:pPr>
        <w:spacing w:line="500" w:lineRule="atLeast"/>
        <w:ind w:firstLine="600"/>
        <w:divId w:val="65495238"/>
        <w:rPr>
          <w:rFonts w:hint="eastAsia"/>
          <w:sz w:val="30"/>
          <w:szCs w:val="30"/>
        </w:rPr>
      </w:pPr>
      <w:r>
        <w:rPr>
          <w:rFonts w:hint="eastAsia"/>
          <w:sz w:val="30"/>
          <w:szCs w:val="30"/>
        </w:rPr>
        <w:t>辩护人蒋崇涛、李群龙提出的辩护意见是：</w:t>
      </w:r>
      <w:r>
        <w:rPr>
          <w:rFonts w:hint="eastAsia"/>
          <w:sz w:val="30"/>
          <w:szCs w:val="30"/>
        </w:rPr>
        <w:t>1</w:t>
      </w:r>
      <w:r>
        <w:rPr>
          <w:rFonts w:hint="eastAsia"/>
          <w:sz w:val="30"/>
          <w:szCs w:val="30"/>
        </w:rPr>
        <w:t>、上诉人程某甲并非主动索贿；</w:t>
      </w:r>
      <w:r>
        <w:rPr>
          <w:rFonts w:hint="eastAsia"/>
          <w:sz w:val="30"/>
          <w:szCs w:val="30"/>
        </w:rPr>
        <w:t>2</w:t>
      </w:r>
      <w:r>
        <w:rPr>
          <w:rFonts w:hint="eastAsia"/>
          <w:sz w:val="30"/>
          <w:szCs w:val="30"/>
        </w:rPr>
        <w:t>、程某甲具有自首、退赃情节；</w:t>
      </w:r>
      <w:r>
        <w:rPr>
          <w:rFonts w:hint="eastAsia"/>
          <w:sz w:val="30"/>
          <w:szCs w:val="30"/>
        </w:rPr>
        <w:t>3</w:t>
      </w:r>
      <w:r>
        <w:rPr>
          <w:rFonts w:hint="eastAsia"/>
          <w:sz w:val="30"/>
          <w:szCs w:val="30"/>
        </w:rPr>
        <w:t>、程某甲系初犯、偶犯；</w:t>
      </w:r>
      <w:r>
        <w:rPr>
          <w:rFonts w:hint="eastAsia"/>
          <w:sz w:val="30"/>
          <w:szCs w:val="30"/>
        </w:rPr>
        <w:t>4</w:t>
      </w:r>
      <w:r>
        <w:rPr>
          <w:rFonts w:hint="eastAsia"/>
          <w:sz w:val="30"/>
          <w:szCs w:val="30"/>
        </w:rPr>
        <w:t>、程某甲家庭困难，全家都靠其支撑。故此，原判决量刑过重，恳请二审法院准确适用法律，对程某甲改判缓刑。</w:t>
      </w:r>
    </w:p>
    <w:p w:rsidR="00440086" w:rsidRDefault="00440086">
      <w:pPr>
        <w:spacing w:line="500" w:lineRule="atLeast"/>
        <w:ind w:firstLine="600"/>
        <w:divId w:val="787315816"/>
        <w:rPr>
          <w:rFonts w:hint="eastAsia"/>
          <w:sz w:val="30"/>
          <w:szCs w:val="30"/>
        </w:rPr>
      </w:pPr>
      <w:r>
        <w:rPr>
          <w:rFonts w:hint="eastAsia"/>
          <w:sz w:val="30"/>
          <w:szCs w:val="30"/>
        </w:rPr>
        <w:t>本院经审理认为，原判决认定上诉人程某甲利用其任茅某四社社长的职务上的便利，为他人谋取利益而收受好处费共计</w:t>
      </w:r>
      <w:r>
        <w:rPr>
          <w:rFonts w:hint="eastAsia"/>
          <w:sz w:val="30"/>
          <w:szCs w:val="30"/>
        </w:rPr>
        <w:t>1247500</w:t>
      </w:r>
      <w:r>
        <w:rPr>
          <w:rFonts w:hint="eastAsia"/>
          <w:sz w:val="30"/>
          <w:szCs w:val="30"/>
        </w:rPr>
        <w:t>元的事实清楚，证据确实、充分，本院予以认同。在本院二审审理期间，程某甲通过其家属向原审法院退缴了违法所得款项</w:t>
      </w:r>
      <w:r>
        <w:rPr>
          <w:rFonts w:hint="eastAsia"/>
          <w:sz w:val="30"/>
          <w:szCs w:val="30"/>
        </w:rPr>
        <w:t>1117500</w:t>
      </w:r>
      <w:r>
        <w:rPr>
          <w:rFonts w:hint="eastAsia"/>
          <w:sz w:val="30"/>
          <w:szCs w:val="30"/>
        </w:rPr>
        <w:t>元，该笔款项暂扣于原审法院。</w:t>
      </w:r>
    </w:p>
    <w:p w:rsidR="00440086" w:rsidRDefault="00440086">
      <w:pPr>
        <w:spacing w:line="500" w:lineRule="atLeast"/>
        <w:ind w:firstLine="600"/>
        <w:divId w:val="1533565952"/>
        <w:rPr>
          <w:rFonts w:hint="eastAsia"/>
          <w:sz w:val="30"/>
          <w:szCs w:val="30"/>
        </w:rPr>
      </w:pPr>
      <w:r>
        <w:rPr>
          <w:rFonts w:hint="eastAsia"/>
          <w:sz w:val="30"/>
          <w:szCs w:val="30"/>
        </w:rPr>
        <w:t>本院认为，上诉人程某甲身为经济合作社社长，利用职务上的便利非法收受他人的钱款，为他人谋取利益，其行为构成非国家工作人员受贿罪。程某甲受贿数额巨大，应当对其适用“五年以上有期徒刑，可以并处没收财产”的法定刑幅度予以处罚。原判决认定事实和适用法律定罪正确，视程某甲具有自首和退缴部分违法所得的情节而予以减轻处罚正确。鉴于程某甲在本院审理期间退清了全部违法所得，原判决的量刑偏重，依法应当予以改判。程某甲的犯罪情节并非较轻，故程某甲及其辩护人关于适用缓刑的上诉意见、辩护意见缺乏事实和法律依据，本院不予采纳。依照《中华人民共和国刑事诉讼法》第二百二十五条第一款第（三）项，《中华人民共和国刑法》第一百六十三条第一款、第六十七条第一款、第六十三条第一款、第六十四条，《最高人民法院、最高人民检察院关于办理贪污贿赂刑事案件适用法律若干问题的解释》第二条第一款、第十一条第一款的规定，判决如下：</w:t>
      </w:r>
    </w:p>
    <w:p w:rsidR="00440086" w:rsidRDefault="00440086">
      <w:pPr>
        <w:spacing w:line="500" w:lineRule="atLeast"/>
        <w:ind w:firstLine="600"/>
        <w:divId w:val="346904892"/>
        <w:rPr>
          <w:rFonts w:hint="eastAsia"/>
          <w:sz w:val="30"/>
          <w:szCs w:val="30"/>
        </w:rPr>
      </w:pPr>
      <w:r>
        <w:rPr>
          <w:rFonts w:hint="eastAsia"/>
          <w:sz w:val="30"/>
          <w:szCs w:val="30"/>
        </w:rPr>
        <w:t>一、维持广州市黄埔区人民法院（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467</w:t>
      </w:r>
      <w:r>
        <w:rPr>
          <w:rFonts w:hint="eastAsia"/>
          <w:sz w:val="30"/>
          <w:szCs w:val="30"/>
        </w:rPr>
        <w:t>号刑事判决的第一项中的定罪部分、第二项。</w:t>
      </w:r>
    </w:p>
    <w:p w:rsidR="00440086" w:rsidRDefault="00440086">
      <w:pPr>
        <w:spacing w:line="500" w:lineRule="atLeast"/>
        <w:ind w:firstLine="600"/>
        <w:divId w:val="1756783735"/>
        <w:rPr>
          <w:rFonts w:hint="eastAsia"/>
          <w:sz w:val="30"/>
          <w:szCs w:val="30"/>
        </w:rPr>
      </w:pPr>
      <w:r>
        <w:rPr>
          <w:rFonts w:hint="eastAsia"/>
          <w:sz w:val="30"/>
          <w:szCs w:val="30"/>
        </w:rPr>
        <w:t>二、撤销广州市黄埔区人民法院（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467</w:t>
      </w:r>
      <w:r>
        <w:rPr>
          <w:rFonts w:hint="eastAsia"/>
          <w:sz w:val="30"/>
          <w:szCs w:val="30"/>
        </w:rPr>
        <w:t>号刑事判决的第一项中的量刑部分、第三项。</w:t>
      </w:r>
    </w:p>
    <w:p w:rsidR="00440086" w:rsidRDefault="00440086">
      <w:pPr>
        <w:spacing w:line="500" w:lineRule="atLeast"/>
        <w:ind w:firstLine="600"/>
        <w:divId w:val="1469783009"/>
        <w:rPr>
          <w:rFonts w:hint="eastAsia"/>
          <w:sz w:val="30"/>
          <w:szCs w:val="30"/>
        </w:rPr>
      </w:pPr>
      <w:r>
        <w:rPr>
          <w:rFonts w:hint="eastAsia"/>
          <w:sz w:val="30"/>
          <w:szCs w:val="30"/>
        </w:rPr>
        <w:t>三、上诉人程某甲犯非国家工作人员受贿罪，判处有期徒刑二年零六个月。</w:t>
      </w:r>
    </w:p>
    <w:p w:rsidR="00440086" w:rsidRDefault="00440086">
      <w:pPr>
        <w:spacing w:line="500" w:lineRule="atLeast"/>
        <w:ind w:firstLine="600"/>
        <w:divId w:val="4259995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日止。）</w:t>
      </w:r>
    </w:p>
    <w:p w:rsidR="00440086" w:rsidRDefault="00440086">
      <w:pPr>
        <w:spacing w:line="500" w:lineRule="atLeast"/>
        <w:ind w:firstLine="600"/>
        <w:divId w:val="1485974918"/>
        <w:rPr>
          <w:rFonts w:hint="eastAsia"/>
          <w:sz w:val="30"/>
          <w:szCs w:val="30"/>
        </w:rPr>
      </w:pPr>
      <w:r>
        <w:rPr>
          <w:rFonts w:hint="eastAsia"/>
          <w:sz w:val="30"/>
          <w:szCs w:val="30"/>
        </w:rPr>
        <w:t>四、广州市黄埔区人民法院扣押的上诉人程某甲的违法所得人民币</w:t>
      </w:r>
      <w:r>
        <w:rPr>
          <w:rFonts w:hint="eastAsia"/>
          <w:sz w:val="30"/>
          <w:szCs w:val="30"/>
        </w:rPr>
        <w:t>1117500</w:t>
      </w:r>
      <w:r>
        <w:rPr>
          <w:rFonts w:hint="eastAsia"/>
          <w:sz w:val="30"/>
          <w:szCs w:val="30"/>
        </w:rPr>
        <w:t>元，予以没收，上缴国库。</w:t>
      </w:r>
    </w:p>
    <w:p w:rsidR="00440086" w:rsidRDefault="00440086">
      <w:pPr>
        <w:spacing w:line="500" w:lineRule="atLeast"/>
        <w:ind w:firstLine="600"/>
        <w:divId w:val="1892575338"/>
        <w:rPr>
          <w:rFonts w:hint="eastAsia"/>
          <w:sz w:val="30"/>
          <w:szCs w:val="30"/>
        </w:rPr>
      </w:pPr>
      <w:r>
        <w:rPr>
          <w:rFonts w:hint="eastAsia"/>
          <w:sz w:val="30"/>
          <w:szCs w:val="30"/>
        </w:rPr>
        <w:t>本判决为终审判决。</w:t>
      </w:r>
    </w:p>
    <w:p w:rsidR="00440086" w:rsidRDefault="00440086">
      <w:pPr>
        <w:spacing w:line="500" w:lineRule="atLeast"/>
        <w:jc w:val="right"/>
        <w:divId w:val="1421828566"/>
        <w:rPr>
          <w:rFonts w:hint="eastAsia"/>
          <w:sz w:val="30"/>
          <w:szCs w:val="30"/>
        </w:rPr>
      </w:pPr>
      <w:r>
        <w:rPr>
          <w:rFonts w:hint="eastAsia"/>
          <w:sz w:val="30"/>
          <w:szCs w:val="30"/>
        </w:rPr>
        <w:t>审判长　胡　鹏</w:t>
      </w:r>
    </w:p>
    <w:p w:rsidR="00440086" w:rsidRDefault="00440086">
      <w:pPr>
        <w:spacing w:line="500" w:lineRule="atLeast"/>
        <w:jc w:val="right"/>
        <w:divId w:val="1678651267"/>
        <w:rPr>
          <w:rFonts w:hint="eastAsia"/>
          <w:sz w:val="30"/>
          <w:szCs w:val="30"/>
        </w:rPr>
      </w:pPr>
      <w:r>
        <w:rPr>
          <w:rFonts w:hint="eastAsia"/>
          <w:sz w:val="30"/>
          <w:szCs w:val="30"/>
        </w:rPr>
        <w:t>审判员　徐　兵</w:t>
      </w:r>
    </w:p>
    <w:p w:rsidR="00440086" w:rsidRDefault="00440086">
      <w:pPr>
        <w:spacing w:line="500" w:lineRule="atLeast"/>
        <w:jc w:val="right"/>
        <w:divId w:val="1064838914"/>
        <w:rPr>
          <w:rFonts w:hint="eastAsia"/>
          <w:sz w:val="30"/>
          <w:szCs w:val="30"/>
        </w:rPr>
      </w:pPr>
      <w:r>
        <w:rPr>
          <w:rFonts w:hint="eastAsia"/>
          <w:sz w:val="30"/>
          <w:szCs w:val="30"/>
        </w:rPr>
        <w:t>审判员　庞美娟</w:t>
      </w:r>
    </w:p>
    <w:p w:rsidR="00440086" w:rsidRDefault="00440086">
      <w:pPr>
        <w:spacing w:line="500" w:lineRule="atLeast"/>
        <w:jc w:val="right"/>
        <w:divId w:val="438916432"/>
        <w:rPr>
          <w:rFonts w:hint="eastAsia"/>
          <w:sz w:val="30"/>
          <w:szCs w:val="30"/>
        </w:rPr>
      </w:pPr>
      <w:r>
        <w:rPr>
          <w:rFonts w:hint="eastAsia"/>
          <w:sz w:val="30"/>
          <w:szCs w:val="30"/>
        </w:rPr>
        <w:t>二〇一六年十二月十日</w:t>
      </w:r>
    </w:p>
    <w:p w:rsidR="00440086" w:rsidRDefault="00440086">
      <w:pPr>
        <w:spacing w:line="500" w:lineRule="atLeast"/>
        <w:jc w:val="right"/>
        <w:divId w:val="296646379"/>
        <w:rPr>
          <w:rFonts w:hint="eastAsia"/>
          <w:sz w:val="30"/>
          <w:szCs w:val="30"/>
        </w:rPr>
      </w:pPr>
      <w:r>
        <w:rPr>
          <w:rFonts w:hint="eastAsia"/>
          <w:sz w:val="30"/>
          <w:szCs w:val="30"/>
        </w:rPr>
        <w:t>书记员　田东民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0086" w:rsidRDefault="00440086" w:rsidP="00440086">
      <w:pPr>
        <w:rPr>
          <w:rFonts w:hint="eastAsia"/>
        </w:rPr>
      </w:pPr>
      <w:r>
        <w:separator/>
      </w:r>
    </w:p>
  </w:endnote>
  <w:endnote w:type="continuationSeparator" w:id="0">
    <w:p w:rsidR="00440086" w:rsidRDefault="00440086" w:rsidP="004400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0086" w:rsidRDefault="00440086" w:rsidP="00440086">
      <w:pPr>
        <w:rPr>
          <w:rFonts w:hint="eastAsia"/>
        </w:rPr>
      </w:pPr>
      <w:r>
        <w:separator/>
      </w:r>
    </w:p>
  </w:footnote>
  <w:footnote w:type="continuationSeparator" w:id="0">
    <w:p w:rsidR="00440086" w:rsidRDefault="00440086" w:rsidP="004400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0086"/>
    <w:rsid w:val="0044008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0086"/>
    <w:pPr>
      <w:tabs>
        <w:tab w:val="center" w:pos="4153"/>
        <w:tab w:val="right" w:pos="8306"/>
      </w:tabs>
      <w:snapToGrid w:val="0"/>
      <w:jc w:val="center"/>
    </w:pPr>
    <w:rPr>
      <w:sz w:val="18"/>
      <w:szCs w:val="18"/>
    </w:rPr>
  </w:style>
  <w:style w:type="character" w:customStyle="1" w:styleId="a4">
    <w:name w:val="页眉 字符"/>
    <w:basedOn w:val="a0"/>
    <w:link w:val="a3"/>
    <w:uiPriority w:val="99"/>
    <w:rsid w:val="00440086"/>
    <w:rPr>
      <w:rFonts w:ascii="宋体" w:eastAsia="宋体" w:hAnsi="宋体" w:cs="宋体"/>
      <w:sz w:val="18"/>
      <w:szCs w:val="18"/>
    </w:rPr>
  </w:style>
  <w:style w:type="paragraph" w:styleId="a5">
    <w:name w:val="footer"/>
    <w:basedOn w:val="a"/>
    <w:link w:val="a6"/>
    <w:uiPriority w:val="99"/>
    <w:unhideWhenUsed/>
    <w:rsid w:val="00440086"/>
    <w:pPr>
      <w:tabs>
        <w:tab w:val="center" w:pos="4153"/>
        <w:tab w:val="right" w:pos="8306"/>
      </w:tabs>
      <w:snapToGrid w:val="0"/>
    </w:pPr>
    <w:rPr>
      <w:sz w:val="18"/>
      <w:szCs w:val="18"/>
    </w:rPr>
  </w:style>
  <w:style w:type="character" w:customStyle="1" w:styleId="a6">
    <w:name w:val="页脚 字符"/>
    <w:basedOn w:val="a0"/>
    <w:link w:val="a5"/>
    <w:uiPriority w:val="99"/>
    <w:rsid w:val="004400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5238">
      <w:marLeft w:val="0"/>
      <w:marRight w:val="0"/>
      <w:marTop w:val="10"/>
      <w:marBottom w:val="10"/>
      <w:divBdr>
        <w:top w:val="none" w:sz="0" w:space="0" w:color="auto"/>
        <w:left w:val="none" w:sz="0" w:space="0" w:color="auto"/>
        <w:bottom w:val="none" w:sz="0" w:space="0" w:color="auto"/>
        <w:right w:val="none" w:sz="0" w:space="0" w:color="auto"/>
      </w:divBdr>
    </w:div>
    <w:div w:id="281544425">
      <w:marLeft w:val="0"/>
      <w:marRight w:val="0"/>
      <w:marTop w:val="10"/>
      <w:marBottom w:val="10"/>
      <w:divBdr>
        <w:top w:val="none" w:sz="0" w:space="0" w:color="auto"/>
        <w:left w:val="none" w:sz="0" w:space="0" w:color="auto"/>
        <w:bottom w:val="none" w:sz="0" w:space="0" w:color="auto"/>
        <w:right w:val="none" w:sz="0" w:space="0" w:color="auto"/>
      </w:divBdr>
    </w:div>
    <w:div w:id="295380948">
      <w:marLeft w:val="0"/>
      <w:marRight w:val="0"/>
      <w:marTop w:val="10"/>
      <w:marBottom w:val="10"/>
      <w:divBdr>
        <w:top w:val="none" w:sz="0" w:space="0" w:color="auto"/>
        <w:left w:val="none" w:sz="0" w:space="0" w:color="auto"/>
        <w:bottom w:val="none" w:sz="0" w:space="0" w:color="auto"/>
        <w:right w:val="none" w:sz="0" w:space="0" w:color="auto"/>
      </w:divBdr>
    </w:div>
    <w:div w:id="296646379">
      <w:marLeft w:val="0"/>
      <w:marRight w:val="720"/>
      <w:marTop w:val="10"/>
      <w:marBottom w:val="10"/>
      <w:divBdr>
        <w:top w:val="none" w:sz="0" w:space="0" w:color="auto"/>
        <w:left w:val="none" w:sz="0" w:space="0" w:color="auto"/>
        <w:bottom w:val="none" w:sz="0" w:space="0" w:color="auto"/>
        <w:right w:val="none" w:sz="0" w:space="0" w:color="auto"/>
      </w:divBdr>
    </w:div>
    <w:div w:id="346904892">
      <w:marLeft w:val="0"/>
      <w:marRight w:val="0"/>
      <w:marTop w:val="10"/>
      <w:marBottom w:val="10"/>
      <w:divBdr>
        <w:top w:val="none" w:sz="0" w:space="0" w:color="auto"/>
        <w:left w:val="none" w:sz="0" w:space="0" w:color="auto"/>
        <w:bottom w:val="none" w:sz="0" w:space="0" w:color="auto"/>
        <w:right w:val="none" w:sz="0" w:space="0" w:color="auto"/>
      </w:divBdr>
    </w:div>
    <w:div w:id="410812356">
      <w:marLeft w:val="0"/>
      <w:marRight w:val="0"/>
      <w:marTop w:val="10"/>
      <w:marBottom w:val="10"/>
      <w:divBdr>
        <w:top w:val="none" w:sz="0" w:space="0" w:color="auto"/>
        <w:left w:val="none" w:sz="0" w:space="0" w:color="auto"/>
        <w:bottom w:val="none" w:sz="0" w:space="0" w:color="auto"/>
        <w:right w:val="none" w:sz="0" w:space="0" w:color="auto"/>
      </w:divBdr>
    </w:div>
    <w:div w:id="425999553">
      <w:marLeft w:val="0"/>
      <w:marRight w:val="0"/>
      <w:marTop w:val="10"/>
      <w:marBottom w:val="10"/>
      <w:divBdr>
        <w:top w:val="none" w:sz="0" w:space="0" w:color="auto"/>
        <w:left w:val="none" w:sz="0" w:space="0" w:color="auto"/>
        <w:bottom w:val="none" w:sz="0" w:space="0" w:color="auto"/>
        <w:right w:val="none" w:sz="0" w:space="0" w:color="auto"/>
      </w:divBdr>
    </w:div>
    <w:div w:id="438916432">
      <w:marLeft w:val="0"/>
      <w:marRight w:val="720"/>
      <w:marTop w:val="10"/>
      <w:marBottom w:val="10"/>
      <w:divBdr>
        <w:top w:val="none" w:sz="0" w:space="0" w:color="auto"/>
        <w:left w:val="none" w:sz="0" w:space="0" w:color="auto"/>
        <w:bottom w:val="none" w:sz="0" w:space="0" w:color="auto"/>
        <w:right w:val="none" w:sz="0" w:space="0" w:color="auto"/>
      </w:divBdr>
    </w:div>
    <w:div w:id="482433319">
      <w:marLeft w:val="0"/>
      <w:marRight w:val="0"/>
      <w:marTop w:val="10"/>
      <w:marBottom w:val="10"/>
      <w:divBdr>
        <w:top w:val="none" w:sz="0" w:space="0" w:color="auto"/>
        <w:left w:val="none" w:sz="0" w:space="0" w:color="auto"/>
        <w:bottom w:val="none" w:sz="0" w:space="0" w:color="auto"/>
        <w:right w:val="none" w:sz="0" w:space="0" w:color="auto"/>
      </w:divBdr>
    </w:div>
    <w:div w:id="787315816">
      <w:marLeft w:val="0"/>
      <w:marRight w:val="0"/>
      <w:marTop w:val="10"/>
      <w:marBottom w:val="10"/>
      <w:divBdr>
        <w:top w:val="none" w:sz="0" w:space="0" w:color="auto"/>
        <w:left w:val="none" w:sz="0" w:space="0" w:color="auto"/>
        <w:bottom w:val="none" w:sz="0" w:space="0" w:color="auto"/>
        <w:right w:val="none" w:sz="0" w:space="0" w:color="auto"/>
      </w:divBdr>
    </w:div>
    <w:div w:id="884676538">
      <w:marLeft w:val="0"/>
      <w:marRight w:val="0"/>
      <w:marTop w:val="10"/>
      <w:marBottom w:val="10"/>
      <w:divBdr>
        <w:top w:val="none" w:sz="0" w:space="0" w:color="auto"/>
        <w:left w:val="none" w:sz="0" w:space="0" w:color="auto"/>
        <w:bottom w:val="none" w:sz="0" w:space="0" w:color="auto"/>
        <w:right w:val="none" w:sz="0" w:space="0" w:color="auto"/>
      </w:divBdr>
    </w:div>
    <w:div w:id="996415591">
      <w:marLeft w:val="0"/>
      <w:marRight w:val="0"/>
      <w:marTop w:val="10"/>
      <w:marBottom w:val="10"/>
      <w:divBdr>
        <w:top w:val="none" w:sz="0" w:space="0" w:color="auto"/>
        <w:left w:val="none" w:sz="0" w:space="0" w:color="auto"/>
        <w:bottom w:val="none" w:sz="0" w:space="0" w:color="auto"/>
        <w:right w:val="none" w:sz="0" w:space="0" w:color="auto"/>
      </w:divBdr>
    </w:div>
    <w:div w:id="1016158046">
      <w:marLeft w:val="0"/>
      <w:marRight w:val="0"/>
      <w:marTop w:val="10"/>
      <w:marBottom w:val="10"/>
      <w:divBdr>
        <w:top w:val="none" w:sz="0" w:space="0" w:color="auto"/>
        <w:left w:val="none" w:sz="0" w:space="0" w:color="auto"/>
        <w:bottom w:val="none" w:sz="0" w:space="0" w:color="auto"/>
        <w:right w:val="none" w:sz="0" w:space="0" w:color="auto"/>
      </w:divBdr>
    </w:div>
    <w:div w:id="1064838914">
      <w:marLeft w:val="0"/>
      <w:marRight w:val="720"/>
      <w:marTop w:val="10"/>
      <w:marBottom w:val="10"/>
      <w:divBdr>
        <w:top w:val="none" w:sz="0" w:space="0" w:color="auto"/>
        <w:left w:val="none" w:sz="0" w:space="0" w:color="auto"/>
        <w:bottom w:val="none" w:sz="0" w:space="0" w:color="auto"/>
        <w:right w:val="none" w:sz="0" w:space="0" w:color="auto"/>
      </w:divBdr>
    </w:div>
    <w:div w:id="1256330617">
      <w:marLeft w:val="0"/>
      <w:marRight w:val="0"/>
      <w:marTop w:val="10"/>
      <w:marBottom w:val="10"/>
      <w:divBdr>
        <w:top w:val="none" w:sz="0" w:space="0" w:color="auto"/>
        <w:left w:val="none" w:sz="0" w:space="0" w:color="auto"/>
        <w:bottom w:val="none" w:sz="0" w:space="0" w:color="auto"/>
        <w:right w:val="none" w:sz="0" w:space="0" w:color="auto"/>
      </w:divBdr>
    </w:div>
    <w:div w:id="1421828566">
      <w:marLeft w:val="0"/>
      <w:marRight w:val="720"/>
      <w:marTop w:val="10"/>
      <w:marBottom w:val="10"/>
      <w:divBdr>
        <w:top w:val="none" w:sz="0" w:space="0" w:color="auto"/>
        <w:left w:val="none" w:sz="0" w:space="0" w:color="auto"/>
        <w:bottom w:val="none" w:sz="0" w:space="0" w:color="auto"/>
        <w:right w:val="none" w:sz="0" w:space="0" w:color="auto"/>
      </w:divBdr>
    </w:div>
    <w:div w:id="1433894113">
      <w:marLeft w:val="0"/>
      <w:marRight w:val="0"/>
      <w:marTop w:val="10"/>
      <w:marBottom w:val="10"/>
      <w:divBdr>
        <w:top w:val="none" w:sz="0" w:space="0" w:color="auto"/>
        <w:left w:val="none" w:sz="0" w:space="0" w:color="auto"/>
        <w:bottom w:val="none" w:sz="0" w:space="0" w:color="auto"/>
        <w:right w:val="none" w:sz="0" w:space="0" w:color="auto"/>
      </w:divBdr>
    </w:div>
    <w:div w:id="1437096884">
      <w:marLeft w:val="0"/>
      <w:marRight w:val="0"/>
      <w:marTop w:val="10"/>
      <w:marBottom w:val="10"/>
      <w:divBdr>
        <w:top w:val="none" w:sz="0" w:space="0" w:color="auto"/>
        <w:left w:val="none" w:sz="0" w:space="0" w:color="auto"/>
        <w:bottom w:val="none" w:sz="0" w:space="0" w:color="auto"/>
        <w:right w:val="none" w:sz="0" w:space="0" w:color="auto"/>
      </w:divBdr>
    </w:div>
    <w:div w:id="1469783009">
      <w:marLeft w:val="0"/>
      <w:marRight w:val="0"/>
      <w:marTop w:val="10"/>
      <w:marBottom w:val="10"/>
      <w:divBdr>
        <w:top w:val="none" w:sz="0" w:space="0" w:color="auto"/>
        <w:left w:val="none" w:sz="0" w:space="0" w:color="auto"/>
        <w:bottom w:val="none" w:sz="0" w:space="0" w:color="auto"/>
        <w:right w:val="none" w:sz="0" w:space="0" w:color="auto"/>
      </w:divBdr>
    </w:div>
    <w:div w:id="1485974918">
      <w:marLeft w:val="0"/>
      <w:marRight w:val="0"/>
      <w:marTop w:val="10"/>
      <w:marBottom w:val="10"/>
      <w:divBdr>
        <w:top w:val="none" w:sz="0" w:space="0" w:color="auto"/>
        <w:left w:val="none" w:sz="0" w:space="0" w:color="auto"/>
        <w:bottom w:val="none" w:sz="0" w:space="0" w:color="auto"/>
        <w:right w:val="none" w:sz="0" w:space="0" w:color="auto"/>
      </w:divBdr>
    </w:div>
    <w:div w:id="1533565952">
      <w:marLeft w:val="0"/>
      <w:marRight w:val="0"/>
      <w:marTop w:val="10"/>
      <w:marBottom w:val="10"/>
      <w:divBdr>
        <w:top w:val="none" w:sz="0" w:space="0" w:color="auto"/>
        <w:left w:val="none" w:sz="0" w:space="0" w:color="auto"/>
        <w:bottom w:val="none" w:sz="0" w:space="0" w:color="auto"/>
        <w:right w:val="none" w:sz="0" w:space="0" w:color="auto"/>
      </w:divBdr>
    </w:div>
    <w:div w:id="1607037238">
      <w:marLeft w:val="0"/>
      <w:marRight w:val="0"/>
      <w:marTop w:val="10"/>
      <w:marBottom w:val="10"/>
      <w:divBdr>
        <w:top w:val="none" w:sz="0" w:space="0" w:color="auto"/>
        <w:left w:val="none" w:sz="0" w:space="0" w:color="auto"/>
        <w:bottom w:val="none" w:sz="0" w:space="0" w:color="auto"/>
        <w:right w:val="none" w:sz="0" w:space="0" w:color="auto"/>
      </w:divBdr>
    </w:div>
    <w:div w:id="1609775911">
      <w:marLeft w:val="0"/>
      <w:marRight w:val="0"/>
      <w:marTop w:val="10"/>
      <w:marBottom w:val="10"/>
      <w:divBdr>
        <w:top w:val="none" w:sz="0" w:space="0" w:color="auto"/>
        <w:left w:val="none" w:sz="0" w:space="0" w:color="auto"/>
        <w:bottom w:val="none" w:sz="0" w:space="0" w:color="auto"/>
        <w:right w:val="none" w:sz="0" w:space="0" w:color="auto"/>
      </w:divBdr>
    </w:div>
    <w:div w:id="1650937812">
      <w:marLeft w:val="0"/>
      <w:marRight w:val="0"/>
      <w:marTop w:val="10"/>
      <w:marBottom w:val="10"/>
      <w:divBdr>
        <w:top w:val="none" w:sz="0" w:space="0" w:color="auto"/>
        <w:left w:val="none" w:sz="0" w:space="0" w:color="auto"/>
        <w:bottom w:val="none" w:sz="0" w:space="0" w:color="auto"/>
        <w:right w:val="none" w:sz="0" w:space="0" w:color="auto"/>
      </w:divBdr>
    </w:div>
    <w:div w:id="1657680403">
      <w:marLeft w:val="0"/>
      <w:marRight w:val="0"/>
      <w:marTop w:val="10"/>
      <w:marBottom w:val="10"/>
      <w:divBdr>
        <w:top w:val="none" w:sz="0" w:space="0" w:color="auto"/>
        <w:left w:val="none" w:sz="0" w:space="0" w:color="auto"/>
        <w:bottom w:val="none" w:sz="0" w:space="0" w:color="auto"/>
        <w:right w:val="none" w:sz="0" w:space="0" w:color="auto"/>
      </w:divBdr>
    </w:div>
    <w:div w:id="1678651267">
      <w:marLeft w:val="0"/>
      <w:marRight w:val="720"/>
      <w:marTop w:val="10"/>
      <w:marBottom w:val="10"/>
      <w:divBdr>
        <w:top w:val="none" w:sz="0" w:space="0" w:color="auto"/>
        <w:left w:val="none" w:sz="0" w:space="0" w:color="auto"/>
        <w:bottom w:val="none" w:sz="0" w:space="0" w:color="auto"/>
        <w:right w:val="none" w:sz="0" w:space="0" w:color="auto"/>
      </w:divBdr>
    </w:div>
    <w:div w:id="1756783735">
      <w:marLeft w:val="0"/>
      <w:marRight w:val="0"/>
      <w:marTop w:val="10"/>
      <w:marBottom w:val="10"/>
      <w:divBdr>
        <w:top w:val="none" w:sz="0" w:space="0" w:color="auto"/>
        <w:left w:val="none" w:sz="0" w:space="0" w:color="auto"/>
        <w:bottom w:val="none" w:sz="0" w:space="0" w:color="auto"/>
        <w:right w:val="none" w:sz="0" w:space="0" w:color="auto"/>
      </w:divBdr>
    </w:div>
    <w:div w:id="1892575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