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04F8" w:rsidRDefault="002704F8">
      <w:pPr>
        <w:spacing w:line="500" w:lineRule="atLeast"/>
        <w:jc w:val="center"/>
        <w:divId w:val="176191251"/>
        <w:rPr>
          <w:rFonts w:ascii="黑体" w:eastAsia="黑体" w:hAnsi="黑体"/>
          <w:sz w:val="36"/>
          <w:szCs w:val="36"/>
        </w:rPr>
      </w:pPr>
      <w:r>
        <w:rPr>
          <w:rFonts w:ascii="黑体" w:eastAsia="黑体" w:hAnsi="黑体" w:hint="eastAsia"/>
          <w:sz w:val="36"/>
          <w:szCs w:val="36"/>
        </w:rPr>
        <w:t>广东省兴宁市人民法院</w:t>
      </w:r>
    </w:p>
    <w:p w:rsidR="002704F8" w:rsidRDefault="002704F8">
      <w:pPr>
        <w:spacing w:line="500" w:lineRule="atLeast"/>
        <w:jc w:val="center"/>
        <w:divId w:val="8797790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04F8" w:rsidRDefault="002704F8">
      <w:pPr>
        <w:spacing w:line="500" w:lineRule="atLeast"/>
        <w:jc w:val="right"/>
        <w:divId w:val="14757598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160</w:t>
      </w:r>
      <w:r>
        <w:rPr>
          <w:rFonts w:hint="eastAsia"/>
          <w:sz w:val="30"/>
          <w:szCs w:val="30"/>
        </w:rPr>
        <w:t>号</w:t>
      </w:r>
    </w:p>
    <w:p w:rsidR="002704F8" w:rsidRDefault="002704F8">
      <w:pPr>
        <w:spacing w:line="500" w:lineRule="atLeast"/>
        <w:ind w:firstLine="600"/>
        <w:divId w:val="1905220709"/>
        <w:rPr>
          <w:rFonts w:hint="eastAsia"/>
          <w:sz w:val="30"/>
          <w:szCs w:val="30"/>
        </w:rPr>
      </w:pPr>
      <w:r>
        <w:rPr>
          <w:rFonts w:hint="eastAsia"/>
          <w:sz w:val="30"/>
          <w:szCs w:val="30"/>
        </w:rPr>
        <w:t>公诉机关兴宁市人民检察院。</w:t>
      </w:r>
    </w:p>
    <w:p w:rsidR="002704F8" w:rsidRDefault="002704F8">
      <w:pPr>
        <w:spacing w:line="500" w:lineRule="atLeast"/>
        <w:ind w:firstLine="600"/>
        <w:divId w:val="902179558"/>
        <w:rPr>
          <w:rFonts w:hint="eastAsia"/>
          <w:sz w:val="30"/>
          <w:szCs w:val="30"/>
        </w:rPr>
      </w:pPr>
      <w:r>
        <w:rPr>
          <w:rFonts w:hint="eastAsia"/>
          <w:sz w:val="30"/>
          <w:szCs w:val="30"/>
        </w:rPr>
        <w:t>被告人罗某甲，男，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日出生，汉族，高中文化，个体户，住广东省兴宁市。因涉嫌贪污罪，于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日经兴宁市人民检察院决定取保候审。</w:t>
      </w:r>
    </w:p>
    <w:p w:rsidR="002704F8" w:rsidRDefault="002704F8">
      <w:pPr>
        <w:spacing w:line="500" w:lineRule="atLeast"/>
        <w:ind w:firstLine="600"/>
        <w:divId w:val="1082411058"/>
        <w:rPr>
          <w:rFonts w:hint="eastAsia"/>
          <w:sz w:val="30"/>
          <w:szCs w:val="30"/>
        </w:rPr>
      </w:pPr>
      <w:r>
        <w:rPr>
          <w:rFonts w:hint="eastAsia"/>
          <w:sz w:val="30"/>
          <w:szCs w:val="30"/>
        </w:rPr>
        <w:t>辩护人曾荣松，系广东广兴律师事务所律师。</w:t>
      </w:r>
    </w:p>
    <w:p w:rsidR="002704F8" w:rsidRDefault="002704F8">
      <w:pPr>
        <w:spacing w:line="500" w:lineRule="atLeast"/>
        <w:ind w:firstLine="600"/>
        <w:divId w:val="1083456323"/>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145</w:t>
      </w:r>
      <w:r>
        <w:rPr>
          <w:rFonts w:hint="eastAsia"/>
          <w:sz w:val="30"/>
          <w:szCs w:val="30"/>
        </w:rPr>
        <w:t>号起诉书指控被告人罗某甲犯贪污罪，于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日向本院提起公诉。本院受理后，依法组成合议庭，适用普通程序，公开开庭审理了本案。兴宁市人民检察院指派检察员陈文芳出庭支持公诉。被告人罗某甲及其辩护人曾荣松到庭参加了诉讼。现已审理终结。</w:t>
      </w:r>
    </w:p>
    <w:p w:rsidR="002704F8" w:rsidRDefault="002704F8">
      <w:pPr>
        <w:spacing w:line="500" w:lineRule="atLeast"/>
        <w:ind w:firstLine="600"/>
        <w:divId w:val="136531129"/>
        <w:rPr>
          <w:rFonts w:hint="eastAsia"/>
          <w:sz w:val="30"/>
          <w:szCs w:val="30"/>
        </w:rPr>
      </w:pPr>
      <w:r>
        <w:rPr>
          <w:rFonts w:hint="eastAsia"/>
          <w:sz w:val="30"/>
          <w:szCs w:val="30"/>
        </w:rPr>
        <w:t>兴宁市人民检察院指控：</w:t>
      </w:r>
      <w:r>
        <w:rPr>
          <w:rFonts w:hint="eastAsia"/>
          <w:sz w:val="30"/>
          <w:szCs w:val="30"/>
        </w:rPr>
        <w:t>2012</w:t>
      </w:r>
      <w:r>
        <w:rPr>
          <w:rFonts w:hint="eastAsia"/>
          <w:sz w:val="30"/>
          <w:szCs w:val="30"/>
        </w:rPr>
        <w:t>年，被告人罗某甲在经营兴宁市大坪镇家家乐百货超市期间伙同兴宁市大坪基层供销合作社主任龚一平（另案处理）利用龚某</w:t>
      </w:r>
      <w:r>
        <w:rPr>
          <w:rFonts w:hint="eastAsia"/>
          <w:sz w:val="30"/>
          <w:szCs w:val="30"/>
        </w:rPr>
        <w:t>2</w:t>
      </w:r>
      <w:r>
        <w:rPr>
          <w:rFonts w:hint="eastAsia"/>
          <w:sz w:val="30"/>
          <w:szCs w:val="30"/>
        </w:rPr>
        <w:t>的职务之便，以兴宁市大坪基层供销合作社名义虚假申报并获得“</w:t>
      </w:r>
      <w:r>
        <w:rPr>
          <w:rFonts w:hint="eastAsia"/>
          <w:sz w:val="30"/>
          <w:szCs w:val="30"/>
        </w:rPr>
        <w:t>2012</w:t>
      </w:r>
      <w:r>
        <w:rPr>
          <w:rFonts w:hint="eastAsia"/>
          <w:sz w:val="30"/>
          <w:szCs w:val="30"/>
        </w:rPr>
        <w:t>年度广东省供销系统非竞争性分配专项资金”人民币</w:t>
      </w:r>
      <w:r>
        <w:rPr>
          <w:rFonts w:hint="eastAsia"/>
          <w:sz w:val="30"/>
          <w:szCs w:val="30"/>
        </w:rPr>
        <w:t>15</w:t>
      </w:r>
      <w:r>
        <w:rPr>
          <w:rFonts w:hint="eastAsia"/>
          <w:sz w:val="30"/>
          <w:szCs w:val="30"/>
        </w:rPr>
        <w:t>万元，后共同私分，其中被告人罗某甲从中得款人民币</w:t>
      </w:r>
      <w:r>
        <w:rPr>
          <w:rFonts w:hint="eastAsia"/>
          <w:sz w:val="30"/>
          <w:szCs w:val="30"/>
        </w:rPr>
        <w:t>54977.37</w:t>
      </w:r>
      <w:r>
        <w:rPr>
          <w:rFonts w:hint="eastAsia"/>
          <w:sz w:val="30"/>
          <w:szCs w:val="30"/>
        </w:rPr>
        <w:t>元。</w:t>
      </w:r>
    </w:p>
    <w:p w:rsidR="002704F8" w:rsidRDefault="002704F8">
      <w:pPr>
        <w:spacing w:line="500" w:lineRule="atLeast"/>
        <w:ind w:firstLine="600"/>
        <w:divId w:val="2087484813"/>
        <w:rPr>
          <w:rFonts w:hint="eastAsia"/>
          <w:sz w:val="30"/>
          <w:szCs w:val="30"/>
        </w:rPr>
      </w:pPr>
      <w:r>
        <w:rPr>
          <w:rFonts w:hint="eastAsia"/>
          <w:sz w:val="30"/>
          <w:szCs w:val="30"/>
        </w:rPr>
        <w:t>公诉机关针对上述指控向法庭提供了相应的证据，认为被告人罗某甲与国家工作人员勾结，利用国家工作人员职务上的便利，以侵吞手段，共同非法占有公共财物，数额较大，其行为触犯了《中华人民共和国刑法》第三百八十二条第三款之规定，应当以贪污罪追究其刑事责任。被告人罗某甲具有自首情节，依法可以从轻或者减轻处罚。提请本院依法判处。</w:t>
      </w:r>
    </w:p>
    <w:p w:rsidR="002704F8" w:rsidRDefault="002704F8">
      <w:pPr>
        <w:spacing w:line="500" w:lineRule="atLeast"/>
        <w:ind w:firstLine="600"/>
        <w:divId w:val="1009408206"/>
        <w:rPr>
          <w:rFonts w:hint="eastAsia"/>
          <w:sz w:val="30"/>
          <w:szCs w:val="30"/>
        </w:rPr>
      </w:pPr>
      <w:r>
        <w:rPr>
          <w:rFonts w:hint="eastAsia"/>
          <w:sz w:val="30"/>
          <w:szCs w:val="30"/>
        </w:rPr>
        <w:lastRenderedPageBreak/>
        <w:t>被告人罗某甲对公诉机关指控的犯罪事实及罪名表示没有异议。</w:t>
      </w:r>
    </w:p>
    <w:p w:rsidR="002704F8" w:rsidRDefault="002704F8">
      <w:pPr>
        <w:spacing w:line="500" w:lineRule="atLeast"/>
        <w:ind w:firstLine="600"/>
        <w:divId w:val="116262403"/>
        <w:rPr>
          <w:rFonts w:hint="eastAsia"/>
          <w:sz w:val="30"/>
          <w:szCs w:val="30"/>
        </w:rPr>
      </w:pPr>
      <w:r>
        <w:rPr>
          <w:rFonts w:hint="eastAsia"/>
          <w:sz w:val="30"/>
          <w:szCs w:val="30"/>
        </w:rPr>
        <w:t>辩护人提出如下辩护意见：被告人罗某甲有自首情节、积极退赃，且系从犯，请求对被告人罗某甲免予刑事处罚。</w:t>
      </w:r>
    </w:p>
    <w:p w:rsidR="002704F8" w:rsidRDefault="002704F8">
      <w:pPr>
        <w:spacing w:line="500" w:lineRule="atLeast"/>
        <w:ind w:firstLine="600"/>
        <w:divId w:val="98889772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年，被告人罗某甲在经营兴宁市大坪镇“家家乐”百货超市期间，伙同兴宁市大坪基层供销合作社主任龚一平（另案处理）利用龚某</w:t>
      </w:r>
      <w:r>
        <w:rPr>
          <w:rFonts w:hint="eastAsia"/>
          <w:sz w:val="30"/>
          <w:szCs w:val="30"/>
        </w:rPr>
        <w:t>2</w:t>
      </w:r>
      <w:r>
        <w:rPr>
          <w:rFonts w:hint="eastAsia"/>
          <w:sz w:val="30"/>
          <w:szCs w:val="30"/>
        </w:rPr>
        <w:t>的职务之便，以兴宁市大坪基层供销合作社名义虚假申报并获得“</w:t>
      </w:r>
      <w:r>
        <w:rPr>
          <w:rFonts w:hint="eastAsia"/>
          <w:sz w:val="30"/>
          <w:szCs w:val="30"/>
        </w:rPr>
        <w:t>2012</w:t>
      </w:r>
      <w:r>
        <w:rPr>
          <w:rFonts w:hint="eastAsia"/>
          <w:sz w:val="30"/>
          <w:szCs w:val="30"/>
        </w:rPr>
        <w:t>年度广东省供销系统非竞争性分配专项资金”人民币</w:t>
      </w:r>
      <w:r>
        <w:rPr>
          <w:rFonts w:hint="eastAsia"/>
          <w:sz w:val="30"/>
          <w:szCs w:val="30"/>
        </w:rPr>
        <w:t>15</w:t>
      </w:r>
      <w:r>
        <w:rPr>
          <w:rFonts w:hint="eastAsia"/>
          <w:sz w:val="30"/>
          <w:szCs w:val="30"/>
        </w:rPr>
        <w:t>万元，后共同私分，其中被告人罗某甲从中得款人民币</w:t>
      </w:r>
      <w:r>
        <w:rPr>
          <w:rFonts w:hint="eastAsia"/>
          <w:sz w:val="30"/>
          <w:szCs w:val="30"/>
        </w:rPr>
        <w:t>54977.37</w:t>
      </w:r>
      <w:r>
        <w:rPr>
          <w:rFonts w:hint="eastAsia"/>
          <w:sz w:val="30"/>
          <w:szCs w:val="30"/>
        </w:rPr>
        <w:t>元。</w:t>
      </w:r>
    </w:p>
    <w:p w:rsidR="002704F8" w:rsidRDefault="002704F8">
      <w:pPr>
        <w:spacing w:line="500" w:lineRule="atLeast"/>
        <w:ind w:firstLine="600"/>
        <w:divId w:val="1787698036"/>
        <w:rPr>
          <w:rFonts w:hint="eastAsia"/>
          <w:sz w:val="30"/>
          <w:szCs w:val="30"/>
        </w:rPr>
      </w:pPr>
      <w:r>
        <w:rPr>
          <w:rFonts w:hint="eastAsia"/>
          <w:sz w:val="30"/>
          <w:szCs w:val="30"/>
        </w:rPr>
        <w:t>被告人罗某甲经兴宁市人民检察院通知后于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日主动到该院接受询问，在未被立案及采取强制措施前主动交代了其犯罪事实。</w:t>
      </w:r>
    </w:p>
    <w:p w:rsidR="002704F8" w:rsidRDefault="002704F8">
      <w:pPr>
        <w:spacing w:line="500" w:lineRule="atLeast"/>
        <w:ind w:firstLine="600"/>
        <w:divId w:val="968515977"/>
        <w:rPr>
          <w:rFonts w:hint="eastAsia"/>
          <w:sz w:val="30"/>
          <w:szCs w:val="30"/>
        </w:rPr>
      </w:pPr>
      <w:r>
        <w:rPr>
          <w:rFonts w:hint="eastAsia"/>
          <w:sz w:val="30"/>
          <w:szCs w:val="30"/>
        </w:rPr>
        <w:t>上述事实，有公诉机关提交法庭并经质证的下列证据：立案决定书，同案人龚某</w:t>
      </w:r>
      <w:r>
        <w:rPr>
          <w:rFonts w:hint="eastAsia"/>
          <w:sz w:val="30"/>
          <w:szCs w:val="30"/>
        </w:rPr>
        <w:t>2</w:t>
      </w:r>
      <w:r>
        <w:rPr>
          <w:rFonts w:hint="eastAsia"/>
          <w:sz w:val="30"/>
          <w:szCs w:val="30"/>
        </w:rPr>
        <w:t>的供述，证人罗某、周某、丘某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、叶某、龚某</w:t>
      </w:r>
      <w:r>
        <w:rPr>
          <w:rFonts w:hint="eastAsia"/>
          <w:sz w:val="30"/>
          <w:szCs w:val="30"/>
        </w:rPr>
        <w:t>1</w:t>
      </w:r>
      <w:r>
        <w:rPr>
          <w:rFonts w:hint="eastAsia"/>
          <w:sz w:val="30"/>
          <w:szCs w:val="30"/>
        </w:rPr>
        <w:t>、丘某</w:t>
      </w:r>
      <w:r>
        <w:rPr>
          <w:rFonts w:hint="eastAsia"/>
          <w:sz w:val="30"/>
          <w:szCs w:val="30"/>
        </w:rPr>
        <w:t>2</w:t>
      </w:r>
      <w:r>
        <w:rPr>
          <w:rFonts w:hint="eastAsia"/>
          <w:sz w:val="30"/>
          <w:szCs w:val="30"/>
        </w:rPr>
        <w:t>、丘某</w:t>
      </w:r>
      <w:r>
        <w:rPr>
          <w:rFonts w:hint="eastAsia"/>
          <w:sz w:val="30"/>
          <w:szCs w:val="30"/>
        </w:rPr>
        <w:t>3</w:t>
      </w:r>
      <w:r>
        <w:rPr>
          <w:rFonts w:hint="eastAsia"/>
          <w:sz w:val="30"/>
          <w:szCs w:val="30"/>
        </w:rPr>
        <w:t>的证言，辩认笔录，扣押决定书，扣押财物清单，广东省财政厅与本案有关的相关文件，兴宁市大坪基层供销合作社对广东省代销系统非竞争性分配专项资金的项目申报书，罗某于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日提供的兴宁市大坪镇家家乐百货超市营业执照、结婚证，大坪基层供销合作社账户明细，民兴油茶专业合作社账户明细，龚某</w:t>
      </w:r>
      <w:r>
        <w:rPr>
          <w:rFonts w:hint="eastAsia"/>
          <w:sz w:val="30"/>
          <w:szCs w:val="30"/>
        </w:rPr>
        <w:t>2</w:t>
      </w:r>
      <w:r>
        <w:rPr>
          <w:rFonts w:hint="eastAsia"/>
          <w:sz w:val="30"/>
          <w:szCs w:val="30"/>
        </w:rPr>
        <w:t>的任职文件，龚某</w:t>
      </w:r>
      <w:r>
        <w:rPr>
          <w:rFonts w:hint="eastAsia"/>
          <w:sz w:val="30"/>
          <w:szCs w:val="30"/>
        </w:rPr>
        <w:t>2</w:t>
      </w:r>
      <w:r>
        <w:rPr>
          <w:rFonts w:hint="eastAsia"/>
          <w:sz w:val="30"/>
          <w:szCs w:val="30"/>
        </w:rPr>
        <w:t>的简历，被告人罗某甲的户籍证明，被告人罗某甲的供述等证据证实及本案开庭笔录在卷佐证，足以认定。</w:t>
      </w:r>
    </w:p>
    <w:p w:rsidR="002704F8" w:rsidRDefault="002704F8">
      <w:pPr>
        <w:spacing w:line="500" w:lineRule="atLeast"/>
        <w:ind w:firstLine="600"/>
        <w:divId w:val="1943490955"/>
        <w:rPr>
          <w:rFonts w:hint="eastAsia"/>
          <w:sz w:val="30"/>
          <w:szCs w:val="30"/>
        </w:rPr>
      </w:pPr>
      <w:r>
        <w:rPr>
          <w:rFonts w:hint="eastAsia"/>
          <w:sz w:val="30"/>
          <w:szCs w:val="30"/>
        </w:rPr>
        <w:t>本院认为，被告人罗某甲与国家工作人员互相勾结，利用国家工作人员职务上的便利，采用侵吞手段，共同非法占有公共财物，数额较大，其行为已构成贪污罪，应依法惩处。公诉机关指控被告人罗某甲犯贪污罪的事实清楚，证据确实、充分，罪名成立，本院予以支持。鉴于被告人罗某甲有自首情节，在庭审中能自愿认罪，已退清涉案赃款，本院依法对其予以从轻处罚。辩护人提出被告人罗某甲有自首情节、积极退赃，且系从犯，经查属实，予以采信；提出被告人罗某甲系从犯，请求给予免予刑事处罚，经查，被告人罗某甲在共同犯罪中积极参与，且与同案人相互配合，其不是从犯，故辩护人的该辩护意见，本院不予采纳。</w:t>
      </w:r>
    </w:p>
    <w:p w:rsidR="002704F8" w:rsidRDefault="002704F8">
      <w:pPr>
        <w:spacing w:line="500" w:lineRule="atLeast"/>
        <w:ind w:firstLine="600"/>
        <w:divId w:val="1887252435"/>
        <w:rPr>
          <w:rFonts w:hint="eastAsia"/>
          <w:sz w:val="30"/>
          <w:szCs w:val="30"/>
        </w:rPr>
      </w:pPr>
      <w:r>
        <w:rPr>
          <w:rFonts w:hint="eastAsia"/>
          <w:sz w:val="30"/>
          <w:szCs w:val="30"/>
        </w:rPr>
        <w:t>依照《中华人民共和国刑法》第三百八十二条，第六十七条第一款，第五十二条，第五十三条，《最高人民法院、最高人民检察</w:t>
      </w:r>
      <w:r>
        <w:rPr>
          <w:rFonts w:hint="eastAsia"/>
          <w:sz w:val="30"/>
          <w:szCs w:val="30"/>
        </w:rPr>
        <w:t>院</w:t>
      </w:r>
      <w:r>
        <w:rPr>
          <w:rFonts w:hint="eastAsia"/>
          <w:sz w:val="30"/>
          <w:szCs w:val="30"/>
        </w:rPr>
        <w:t>》第一条，第十九条第一款，第七十二条第一款、第三款，第七十三条第二款、第三款之规定，判决如下：</w:t>
      </w:r>
    </w:p>
    <w:p w:rsidR="002704F8" w:rsidRDefault="002704F8">
      <w:pPr>
        <w:spacing w:line="500" w:lineRule="atLeast"/>
        <w:ind w:firstLine="600"/>
        <w:divId w:val="1477182064"/>
        <w:rPr>
          <w:rFonts w:hint="eastAsia"/>
          <w:sz w:val="30"/>
          <w:szCs w:val="30"/>
        </w:rPr>
      </w:pPr>
      <w:r>
        <w:rPr>
          <w:rFonts w:hint="eastAsia"/>
          <w:sz w:val="30"/>
          <w:szCs w:val="30"/>
        </w:rPr>
        <w:t>被告人罗某甲犯贪污罪，判处有期徒刑六个月，缓刑一年，并处罚金人民币</w:t>
      </w:r>
      <w:r>
        <w:rPr>
          <w:rFonts w:hint="eastAsia"/>
          <w:sz w:val="30"/>
          <w:szCs w:val="30"/>
        </w:rPr>
        <w:t>100000</w:t>
      </w:r>
      <w:r>
        <w:rPr>
          <w:rFonts w:hint="eastAsia"/>
          <w:sz w:val="30"/>
          <w:szCs w:val="30"/>
        </w:rPr>
        <w:t>元。</w:t>
      </w:r>
    </w:p>
    <w:p w:rsidR="002704F8" w:rsidRDefault="002704F8">
      <w:pPr>
        <w:spacing w:line="500" w:lineRule="atLeast"/>
        <w:ind w:firstLine="600"/>
        <w:divId w:val="14111902"/>
        <w:rPr>
          <w:rFonts w:hint="eastAsia"/>
          <w:sz w:val="30"/>
          <w:szCs w:val="30"/>
        </w:rPr>
      </w:pPr>
      <w:r>
        <w:rPr>
          <w:rFonts w:hint="eastAsia"/>
          <w:sz w:val="30"/>
          <w:szCs w:val="30"/>
        </w:rPr>
        <w:t>（缓刑考验期限从判决确定之日起计算。罚金已交纳）。</w:t>
      </w:r>
    </w:p>
    <w:p w:rsidR="002704F8" w:rsidRDefault="002704F8">
      <w:pPr>
        <w:spacing w:line="500" w:lineRule="atLeast"/>
        <w:ind w:firstLine="600"/>
        <w:divId w:val="1096318288"/>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2704F8" w:rsidRDefault="002704F8">
      <w:pPr>
        <w:spacing w:line="500" w:lineRule="atLeast"/>
        <w:jc w:val="right"/>
        <w:divId w:val="57290934"/>
        <w:rPr>
          <w:rFonts w:hint="eastAsia"/>
          <w:sz w:val="30"/>
          <w:szCs w:val="30"/>
        </w:rPr>
      </w:pPr>
      <w:r>
        <w:rPr>
          <w:rFonts w:hint="eastAsia"/>
          <w:sz w:val="30"/>
          <w:szCs w:val="30"/>
        </w:rPr>
        <w:t>审　判　长　　李云聪</w:t>
      </w:r>
    </w:p>
    <w:p w:rsidR="002704F8" w:rsidRDefault="002704F8">
      <w:pPr>
        <w:spacing w:line="500" w:lineRule="atLeast"/>
        <w:jc w:val="right"/>
        <w:divId w:val="1030565104"/>
        <w:rPr>
          <w:rFonts w:hint="eastAsia"/>
          <w:sz w:val="30"/>
          <w:szCs w:val="30"/>
        </w:rPr>
      </w:pPr>
      <w:r>
        <w:rPr>
          <w:rFonts w:hint="eastAsia"/>
          <w:sz w:val="30"/>
          <w:szCs w:val="30"/>
        </w:rPr>
        <w:t>审　判　员　　潘李仪</w:t>
      </w:r>
    </w:p>
    <w:p w:rsidR="002704F8" w:rsidRDefault="002704F8">
      <w:pPr>
        <w:spacing w:line="500" w:lineRule="atLeast"/>
        <w:jc w:val="right"/>
        <w:divId w:val="110370020"/>
        <w:rPr>
          <w:rFonts w:hint="eastAsia"/>
          <w:sz w:val="30"/>
          <w:szCs w:val="30"/>
        </w:rPr>
      </w:pPr>
      <w:r>
        <w:rPr>
          <w:rFonts w:hint="eastAsia"/>
          <w:sz w:val="30"/>
          <w:szCs w:val="30"/>
        </w:rPr>
        <w:t>人民陪审员　　张美妮</w:t>
      </w:r>
    </w:p>
    <w:p w:rsidR="002704F8" w:rsidRDefault="002704F8">
      <w:pPr>
        <w:spacing w:line="500" w:lineRule="atLeast"/>
        <w:jc w:val="right"/>
        <w:divId w:val="2040279914"/>
        <w:rPr>
          <w:rFonts w:hint="eastAsia"/>
          <w:sz w:val="30"/>
          <w:szCs w:val="30"/>
        </w:rPr>
      </w:pPr>
      <w:r>
        <w:rPr>
          <w:rFonts w:hint="eastAsia"/>
          <w:sz w:val="30"/>
          <w:szCs w:val="30"/>
        </w:rPr>
        <w:t>二〇一七年七月二十五日</w:t>
      </w:r>
    </w:p>
    <w:p w:rsidR="002704F8" w:rsidRDefault="002704F8">
      <w:pPr>
        <w:spacing w:line="500" w:lineRule="atLeast"/>
        <w:jc w:val="right"/>
        <w:divId w:val="232591391"/>
        <w:rPr>
          <w:rFonts w:hint="eastAsia"/>
          <w:sz w:val="30"/>
          <w:szCs w:val="30"/>
        </w:rPr>
      </w:pPr>
      <w:r>
        <w:rPr>
          <w:rFonts w:hint="eastAsia"/>
          <w:sz w:val="30"/>
          <w:szCs w:val="30"/>
        </w:rPr>
        <w:t>书　记　员　　刘剑锋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04F8" w:rsidRDefault="002704F8" w:rsidP="002704F8">
      <w:pPr>
        <w:rPr>
          <w:rFonts w:hint="eastAsia"/>
        </w:rPr>
      </w:pPr>
      <w:r>
        <w:separator/>
      </w:r>
    </w:p>
  </w:endnote>
  <w:endnote w:type="continuationSeparator" w:id="0">
    <w:p w:rsidR="002704F8" w:rsidRDefault="002704F8" w:rsidP="002704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04F8" w:rsidRDefault="002704F8" w:rsidP="002704F8">
      <w:pPr>
        <w:rPr>
          <w:rFonts w:hint="eastAsia"/>
        </w:rPr>
      </w:pPr>
      <w:r>
        <w:separator/>
      </w:r>
    </w:p>
  </w:footnote>
  <w:footnote w:type="continuationSeparator" w:id="0">
    <w:p w:rsidR="002704F8" w:rsidRDefault="002704F8" w:rsidP="002704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04F8"/>
    <w:rsid w:val="002704F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04F8"/>
    <w:pPr>
      <w:tabs>
        <w:tab w:val="center" w:pos="4153"/>
        <w:tab w:val="right" w:pos="8306"/>
      </w:tabs>
      <w:snapToGrid w:val="0"/>
      <w:jc w:val="center"/>
    </w:pPr>
    <w:rPr>
      <w:sz w:val="18"/>
      <w:szCs w:val="18"/>
    </w:rPr>
  </w:style>
  <w:style w:type="character" w:customStyle="1" w:styleId="a4">
    <w:name w:val="页眉 字符"/>
    <w:basedOn w:val="a0"/>
    <w:link w:val="a3"/>
    <w:uiPriority w:val="99"/>
    <w:rsid w:val="002704F8"/>
    <w:rPr>
      <w:rFonts w:ascii="宋体" w:eastAsia="宋体" w:hAnsi="宋体" w:cs="宋体"/>
      <w:sz w:val="18"/>
      <w:szCs w:val="18"/>
    </w:rPr>
  </w:style>
  <w:style w:type="paragraph" w:styleId="a5">
    <w:name w:val="footer"/>
    <w:basedOn w:val="a"/>
    <w:link w:val="a6"/>
    <w:uiPriority w:val="99"/>
    <w:unhideWhenUsed/>
    <w:rsid w:val="002704F8"/>
    <w:pPr>
      <w:tabs>
        <w:tab w:val="center" w:pos="4153"/>
        <w:tab w:val="right" w:pos="8306"/>
      </w:tabs>
      <w:snapToGrid w:val="0"/>
    </w:pPr>
    <w:rPr>
      <w:sz w:val="18"/>
      <w:szCs w:val="18"/>
    </w:rPr>
  </w:style>
  <w:style w:type="character" w:customStyle="1" w:styleId="a6">
    <w:name w:val="页脚 字符"/>
    <w:basedOn w:val="a0"/>
    <w:link w:val="a5"/>
    <w:uiPriority w:val="99"/>
    <w:rsid w:val="002704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02">
      <w:marLeft w:val="0"/>
      <w:marRight w:val="0"/>
      <w:marTop w:val="10"/>
      <w:marBottom w:val="10"/>
      <w:divBdr>
        <w:top w:val="none" w:sz="0" w:space="0" w:color="auto"/>
        <w:left w:val="none" w:sz="0" w:space="0" w:color="auto"/>
        <w:bottom w:val="none" w:sz="0" w:space="0" w:color="auto"/>
        <w:right w:val="none" w:sz="0" w:space="0" w:color="auto"/>
      </w:divBdr>
    </w:div>
    <w:div w:id="57290934">
      <w:marLeft w:val="0"/>
      <w:marRight w:val="720"/>
      <w:marTop w:val="10"/>
      <w:marBottom w:val="10"/>
      <w:divBdr>
        <w:top w:val="none" w:sz="0" w:space="0" w:color="auto"/>
        <w:left w:val="none" w:sz="0" w:space="0" w:color="auto"/>
        <w:bottom w:val="none" w:sz="0" w:space="0" w:color="auto"/>
        <w:right w:val="none" w:sz="0" w:space="0" w:color="auto"/>
      </w:divBdr>
    </w:div>
    <w:div w:id="110370020">
      <w:marLeft w:val="0"/>
      <w:marRight w:val="720"/>
      <w:marTop w:val="10"/>
      <w:marBottom w:val="10"/>
      <w:divBdr>
        <w:top w:val="none" w:sz="0" w:space="0" w:color="auto"/>
        <w:left w:val="none" w:sz="0" w:space="0" w:color="auto"/>
        <w:bottom w:val="none" w:sz="0" w:space="0" w:color="auto"/>
        <w:right w:val="none" w:sz="0" w:space="0" w:color="auto"/>
      </w:divBdr>
    </w:div>
    <w:div w:id="116262403">
      <w:marLeft w:val="0"/>
      <w:marRight w:val="0"/>
      <w:marTop w:val="10"/>
      <w:marBottom w:val="10"/>
      <w:divBdr>
        <w:top w:val="none" w:sz="0" w:space="0" w:color="auto"/>
        <w:left w:val="none" w:sz="0" w:space="0" w:color="auto"/>
        <w:bottom w:val="none" w:sz="0" w:space="0" w:color="auto"/>
        <w:right w:val="none" w:sz="0" w:space="0" w:color="auto"/>
      </w:divBdr>
    </w:div>
    <w:div w:id="136531129">
      <w:marLeft w:val="0"/>
      <w:marRight w:val="0"/>
      <w:marTop w:val="10"/>
      <w:marBottom w:val="10"/>
      <w:divBdr>
        <w:top w:val="none" w:sz="0" w:space="0" w:color="auto"/>
        <w:left w:val="none" w:sz="0" w:space="0" w:color="auto"/>
        <w:bottom w:val="none" w:sz="0" w:space="0" w:color="auto"/>
        <w:right w:val="none" w:sz="0" w:space="0" w:color="auto"/>
      </w:divBdr>
    </w:div>
    <w:div w:id="176191251">
      <w:marLeft w:val="0"/>
      <w:marRight w:val="0"/>
      <w:marTop w:val="10"/>
      <w:marBottom w:val="10"/>
      <w:divBdr>
        <w:top w:val="none" w:sz="0" w:space="0" w:color="auto"/>
        <w:left w:val="none" w:sz="0" w:space="0" w:color="auto"/>
        <w:bottom w:val="none" w:sz="0" w:space="0" w:color="auto"/>
        <w:right w:val="none" w:sz="0" w:space="0" w:color="auto"/>
      </w:divBdr>
    </w:div>
    <w:div w:id="232591391">
      <w:marLeft w:val="0"/>
      <w:marRight w:val="720"/>
      <w:marTop w:val="10"/>
      <w:marBottom w:val="10"/>
      <w:divBdr>
        <w:top w:val="none" w:sz="0" w:space="0" w:color="auto"/>
        <w:left w:val="none" w:sz="0" w:space="0" w:color="auto"/>
        <w:bottom w:val="none" w:sz="0" w:space="0" w:color="auto"/>
        <w:right w:val="none" w:sz="0" w:space="0" w:color="auto"/>
      </w:divBdr>
    </w:div>
    <w:div w:id="879779078">
      <w:marLeft w:val="0"/>
      <w:marRight w:val="0"/>
      <w:marTop w:val="10"/>
      <w:marBottom w:val="10"/>
      <w:divBdr>
        <w:top w:val="none" w:sz="0" w:space="0" w:color="auto"/>
        <w:left w:val="none" w:sz="0" w:space="0" w:color="auto"/>
        <w:bottom w:val="none" w:sz="0" w:space="0" w:color="auto"/>
        <w:right w:val="none" w:sz="0" w:space="0" w:color="auto"/>
      </w:divBdr>
    </w:div>
    <w:div w:id="902179558">
      <w:marLeft w:val="0"/>
      <w:marRight w:val="0"/>
      <w:marTop w:val="10"/>
      <w:marBottom w:val="10"/>
      <w:divBdr>
        <w:top w:val="none" w:sz="0" w:space="0" w:color="auto"/>
        <w:left w:val="none" w:sz="0" w:space="0" w:color="auto"/>
        <w:bottom w:val="none" w:sz="0" w:space="0" w:color="auto"/>
        <w:right w:val="none" w:sz="0" w:space="0" w:color="auto"/>
      </w:divBdr>
    </w:div>
    <w:div w:id="968515977">
      <w:marLeft w:val="0"/>
      <w:marRight w:val="0"/>
      <w:marTop w:val="10"/>
      <w:marBottom w:val="10"/>
      <w:divBdr>
        <w:top w:val="none" w:sz="0" w:space="0" w:color="auto"/>
        <w:left w:val="none" w:sz="0" w:space="0" w:color="auto"/>
        <w:bottom w:val="none" w:sz="0" w:space="0" w:color="auto"/>
        <w:right w:val="none" w:sz="0" w:space="0" w:color="auto"/>
      </w:divBdr>
    </w:div>
    <w:div w:id="988897723">
      <w:marLeft w:val="0"/>
      <w:marRight w:val="0"/>
      <w:marTop w:val="10"/>
      <w:marBottom w:val="10"/>
      <w:divBdr>
        <w:top w:val="none" w:sz="0" w:space="0" w:color="auto"/>
        <w:left w:val="none" w:sz="0" w:space="0" w:color="auto"/>
        <w:bottom w:val="none" w:sz="0" w:space="0" w:color="auto"/>
        <w:right w:val="none" w:sz="0" w:space="0" w:color="auto"/>
      </w:divBdr>
    </w:div>
    <w:div w:id="1009408206">
      <w:marLeft w:val="0"/>
      <w:marRight w:val="0"/>
      <w:marTop w:val="10"/>
      <w:marBottom w:val="10"/>
      <w:divBdr>
        <w:top w:val="none" w:sz="0" w:space="0" w:color="auto"/>
        <w:left w:val="none" w:sz="0" w:space="0" w:color="auto"/>
        <w:bottom w:val="none" w:sz="0" w:space="0" w:color="auto"/>
        <w:right w:val="none" w:sz="0" w:space="0" w:color="auto"/>
      </w:divBdr>
    </w:div>
    <w:div w:id="1030565104">
      <w:marLeft w:val="0"/>
      <w:marRight w:val="720"/>
      <w:marTop w:val="10"/>
      <w:marBottom w:val="10"/>
      <w:divBdr>
        <w:top w:val="none" w:sz="0" w:space="0" w:color="auto"/>
        <w:left w:val="none" w:sz="0" w:space="0" w:color="auto"/>
        <w:bottom w:val="none" w:sz="0" w:space="0" w:color="auto"/>
        <w:right w:val="none" w:sz="0" w:space="0" w:color="auto"/>
      </w:divBdr>
    </w:div>
    <w:div w:id="1082411058">
      <w:marLeft w:val="0"/>
      <w:marRight w:val="0"/>
      <w:marTop w:val="10"/>
      <w:marBottom w:val="10"/>
      <w:divBdr>
        <w:top w:val="none" w:sz="0" w:space="0" w:color="auto"/>
        <w:left w:val="none" w:sz="0" w:space="0" w:color="auto"/>
        <w:bottom w:val="none" w:sz="0" w:space="0" w:color="auto"/>
        <w:right w:val="none" w:sz="0" w:space="0" w:color="auto"/>
      </w:divBdr>
    </w:div>
    <w:div w:id="1083456323">
      <w:marLeft w:val="0"/>
      <w:marRight w:val="0"/>
      <w:marTop w:val="10"/>
      <w:marBottom w:val="10"/>
      <w:divBdr>
        <w:top w:val="none" w:sz="0" w:space="0" w:color="auto"/>
        <w:left w:val="none" w:sz="0" w:space="0" w:color="auto"/>
        <w:bottom w:val="none" w:sz="0" w:space="0" w:color="auto"/>
        <w:right w:val="none" w:sz="0" w:space="0" w:color="auto"/>
      </w:divBdr>
    </w:div>
    <w:div w:id="1096318288">
      <w:marLeft w:val="0"/>
      <w:marRight w:val="0"/>
      <w:marTop w:val="10"/>
      <w:marBottom w:val="10"/>
      <w:divBdr>
        <w:top w:val="none" w:sz="0" w:space="0" w:color="auto"/>
        <w:left w:val="none" w:sz="0" w:space="0" w:color="auto"/>
        <w:bottom w:val="none" w:sz="0" w:space="0" w:color="auto"/>
        <w:right w:val="none" w:sz="0" w:space="0" w:color="auto"/>
      </w:divBdr>
    </w:div>
    <w:div w:id="1475759806">
      <w:marLeft w:val="0"/>
      <w:marRight w:val="0"/>
      <w:marTop w:val="10"/>
      <w:marBottom w:val="10"/>
      <w:divBdr>
        <w:top w:val="none" w:sz="0" w:space="0" w:color="auto"/>
        <w:left w:val="none" w:sz="0" w:space="0" w:color="auto"/>
        <w:bottom w:val="none" w:sz="0" w:space="0" w:color="auto"/>
        <w:right w:val="none" w:sz="0" w:space="0" w:color="auto"/>
      </w:divBdr>
    </w:div>
    <w:div w:id="1477182064">
      <w:marLeft w:val="0"/>
      <w:marRight w:val="0"/>
      <w:marTop w:val="10"/>
      <w:marBottom w:val="10"/>
      <w:divBdr>
        <w:top w:val="none" w:sz="0" w:space="0" w:color="auto"/>
        <w:left w:val="none" w:sz="0" w:space="0" w:color="auto"/>
        <w:bottom w:val="none" w:sz="0" w:space="0" w:color="auto"/>
        <w:right w:val="none" w:sz="0" w:space="0" w:color="auto"/>
      </w:divBdr>
    </w:div>
    <w:div w:id="1787698036">
      <w:marLeft w:val="0"/>
      <w:marRight w:val="0"/>
      <w:marTop w:val="10"/>
      <w:marBottom w:val="10"/>
      <w:divBdr>
        <w:top w:val="none" w:sz="0" w:space="0" w:color="auto"/>
        <w:left w:val="none" w:sz="0" w:space="0" w:color="auto"/>
        <w:bottom w:val="none" w:sz="0" w:space="0" w:color="auto"/>
        <w:right w:val="none" w:sz="0" w:space="0" w:color="auto"/>
      </w:divBdr>
    </w:div>
    <w:div w:id="1887252435">
      <w:marLeft w:val="0"/>
      <w:marRight w:val="0"/>
      <w:marTop w:val="10"/>
      <w:marBottom w:val="10"/>
      <w:divBdr>
        <w:top w:val="none" w:sz="0" w:space="0" w:color="auto"/>
        <w:left w:val="none" w:sz="0" w:space="0" w:color="auto"/>
        <w:bottom w:val="none" w:sz="0" w:space="0" w:color="auto"/>
        <w:right w:val="none" w:sz="0" w:space="0" w:color="auto"/>
      </w:divBdr>
    </w:div>
    <w:div w:id="1905220709">
      <w:marLeft w:val="0"/>
      <w:marRight w:val="0"/>
      <w:marTop w:val="10"/>
      <w:marBottom w:val="10"/>
      <w:divBdr>
        <w:top w:val="none" w:sz="0" w:space="0" w:color="auto"/>
        <w:left w:val="none" w:sz="0" w:space="0" w:color="auto"/>
        <w:bottom w:val="none" w:sz="0" w:space="0" w:color="auto"/>
        <w:right w:val="none" w:sz="0" w:space="0" w:color="auto"/>
      </w:divBdr>
    </w:div>
    <w:div w:id="1943490955">
      <w:marLeft w:val="0"/>
      <w:marRight w:val="0"/>
      <w:marTop w:val="10"/>
      <w:marBottom w:val="10"/>
      <w:divBdr>
        <w:top w:val="none" w:sz="0" w:space="0" w:color="auto"/>
        <w:left w:val="none" w:sz="0" w:space="0" w:color="auto"/>
        <w:bottom w:val="none" w:sz="0" w:space="0" w:color="auto"/>
        <w:right w:val="none" w:sz="0" w:space="0" w:color="auto"/>
      </w:divBdr>
    </w:div>
    <w:div w:id="2040279914">
      <w:marLeft w:val="0"/>
      <w:marRight w:val="720"/>
      <w:marTop w:val="10"/>
      <w:marBottom w:val="10"/>
      <w:divBdr>
        <w:top w:val="none" w:sz="0" w:space="0" w:color="auto"/>
        <w:left w:val="none" w:sz="0" w:space="0" w:color="auto"/>
        <w:bottom w:val="none" w:sz="0" w:space="0" w:color="auto"/>
        <w:right w:val="none" w:sz="0" w:space="0" w:color="auto"/>
      </w:divBdr>
    </w:div>
    <w:div w:id="2087484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