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6418" w:rsidRDefault="00DF6418">
      <w:pPr>
        <w:spacing w:line="500" w:lineRule="atLeast"/>
        <w:jc w:val="center"/>
        <w:divId w:val="525800470"/>
        <w:rPr>
          <w:rFonts w:ascii="黑体" w:eastAsia="黑体" w:hAnsi="黑体"/>
          <w:sz w:val="36"/>
          <w:szCs w:val="36"/>
        </w:rPr>
      </w:pPr>
      <w:r>
        <w:rPr>
          <w:rFonts w:ascii="黑体" w:eastAsia="黑体" w:hAnsi="黑体" w:hint="eastAsia"/>
          <w:sz w:val="36"/>
          <w:szCs w:val="36"/>
        </w:rPr>
        <w:t>广东省佛山市禅城区人民法院</w:t>
      </w:r>
    </w:p>
    <w:p w:rsidR="00DF6418" w:rsidRDefault="00DF6418">
      <w:pPr>
        <w:spacing w:line="500" w:lineRule="atLeast"/>
        <w:jc w:val="center"/>
        <w:divId w:val="416248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6418" w:rsidRDefault="00DF6418">
      <w:pPr>
        <w:spacing w:line="500" w:lineRule="atLeast"/>
        <w:jc w:val="right"/>
        <w:divId w:val="7186715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1318</w:t>
      </w:r>
      <w:r>
        <w:rPr>
          <w:rFonts w:hint="eastAsia"/>
          <w:sz w:val="30"/>
          <w:szCs w:val="30"/>
        </w:rPr>
        <w:t>号</w:t>
      </w:r>
    </w:p>
    <w:p w:rsidR="00DF6418" w:rsidRDefault="00DF6418">
      <w:pPr>
        <w:spacing w:line="500" w:lineRule="atLeast"/>
        <w:ind w:firstLine="600"/>
        <w:divId w:val="1079139149"/>
        <w:rPr>
          <w:rFonts w:hint="eastAsia"/>
          <w:sz w:val="30"/>
          <w:szCs w:val="30"/>
        </w:rPr>
      </w:pPr>
      <w:r>
        <w:rPr>
          <w:rFonts w:hint="eastAsia"/>
          <w:sz w:val="30"/>
          <w:szCs w:val="30"/>
        </w:rPr>
        <w:t>公诉机关佛山市禅城区人民检察院。</w:t>
      </w:r>
    </w:p>
    <w:p w:rsidR="00DF6418" w:rsidRDefault="00DF6418">
      <w:pPr>
        <w:spacing w:line="500" w:lineRule="atLeast"/>
        <w:ind w:firstLine="600"/>
        <w:divId w:val="873268811"/>
        <w:rPr>
          <w:rFonts w:hint="eastAsia"/>
          <w:sz w:val="30"/>
          <w:szCs w:val="30"/>
        </w:rPr>
      </w:pPr>
      <w:r>
        <w:rPr>
          <w:rFonts w:hint="eastAsia"/>
          <w:sz w:val="30"/>
          <w:szCs w:val="30"/>
        </w:rPr>
        <w:t>被告人胡某津，男，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日出生，汉族，高中文化，住广东省佛山市禅城区，因本案于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日被逮捕。现羁押于佛山市禅城区看守所。</w:t>
      </w:r>
    </w:p>
    <w:p w:rsidR="00DF6418" w:rsidRDefault="00DF6418">
      <w:pPr>
        <w:spacing w:line="500" w:lineRule="atLeast"/>
        <w:ind w:firstLine="600"/>
        <w:divId w:val="94520748"/>
        <w:rPr>
          <w:rFonts w:hint="eastAsia"/>
          <w:sz w:val="30"/>
          <w:szCs w:val="30"/>
        </w:rPr>
      </w:pPr>
      <w:r>
        <w:rPr>
          <w:rFonts w:hint="eastAsia"/>
          <w:sz w:val="30"/>
          <w:szCs w:val="30"/>
        </w:rPr>
        <w:t>辩护人刘德志，广东淼鑫律师事务所律师。</w:t>
      </w:r>
    </w:p>
    <w:p w:rsidR="00DF6418" w:rsidRDefault="00DF6418">
      <w:pPr>
        <w:spacing w:line="500" w:lineRule="atLeast"/>
        <w:ind w:firstLine="600"/>
        <w:divId w:val="2122651870"/>
        <w:rPr>
          <w:rFonts w:hint="eastAsia"/>
          <w:sz w:val="30"/>
          <w:szCs w:val="30"/>
        </w:rPr>
      </w:pPr>
      <w:r>
        <w:rPr>
          <w:rFonts w:hint="eastAsia"/>
          <w:sz w:val="30"/>
          <w:szCs w:val="30"/>
        </w:rPr>
        <w:t>辩护人陈传炳，广东淼鑫律师事务所律师。</w:t>
      </w:r>
    </w:p>
    <w:p w:rsidR="00DF6418" w:rsidRDefault="00DF6418">
      <w:pPr>
        <w:spacing w:line="500" w:lineRule="atLeast"/>
        <w:ind w:firstLine="600"/>
        <w:divId w:val="286547375"/>
        <w:rPr>
          <w:rFonts w:hint="eastAsia"/>
          <w:sz w:val="30"/>
          <w:szCs w:val="30"/>
        </w:rPr>
      </w:pPr>
      <w:r>
        <w:rPr>
          <w:rFonts w:hint="eastAsia"/>
          <w:sz w:val="30"/>
          <w:szCs w:val="30"/>
        </w:rPr>
        <w:t>佛山市禅城区人民检察院以佛禅检刑诉</w:t>
      </w:r>
      <w:r>
        <w:rPr>
          <w:rFonts w:hint="eastAsia"/>
          <w:sz w:val="30"/>
          <w:szCs w:val="30"/>
        </w:rPr>
        <w:t>[2017]1233</w:t>
      </w:r>
      <w:r>
        <w:rPr>
          <w:rFonts w:hint="eastAsia"/>
          <w:sz w:val="30"/>
          <w:szCs w:val="30"/>
        </w:rPr>
        <w:t>号起诉书指控被告人胡某津犯行贿罪，于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日向本院提起公诉。本院依法适用简易程序，实行独任审判，公开开庭审理了本案。佛山市禅城区人民检察院指派检察员饶继姬出庭支持公诉，被告人胡某津及其辩护人刘德志到庭参加诉讼。现已审理终结。</w:t>
      </w:r>
    </w:p>
    <w:p w:rsidR="00DF6418" w:rsidRDefault="00DF6418">
      <w:pPr>
        <w:spacing w:line="500" w:lineRule="atLeast"/>
        <w:ind w:firstLine="600"/>
        <w:divId w:val="92726928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胡某津在经营照相馆期间，为获取非法利益，接受数百位不具备在佛山办理居住证条件的外来人员的请托，找到佛山市禅城区张槎街道流动人口和出租屋管理工作领导小组办公室白坭服务站协管员冯某、何某（均另案处理），让二人为非佛山户籍人员违规办理居住证或居住证回执。为此，送给冯某、何某好处费共计人民币</w:t>
      </w:r>
      <w:r>
        <w:rPr>
          <w:rFonts w:hint="eastAsia"/>
          <w:sz w:val="30"/>
          <w:szCs w:val="30"/>
        </w:rPr>
        <w:t>99200</w:t>
      </w:r>
      <w:r>
        <w:rPr>
          <w:rFonts w:hint="eastAsia"/>
          <w:sz w:val="30"/>
          <w:szCs w:val="30"/>
        </w:rPr>
        <w:t>元，其中，送给冯某</w:t>
      </w:r>
      <w:r>
        <w:rPr>
          <w:rFonts w:hint="eastAsia"/>
          <w:sz w:val="30"/>
          <w:szCs w:val="30"/>
        </w:rPr>
        <w:t>68000</w:t>
      </w:r>
      <w:r>
        <w:rPr>
          <w:rFonts w:hint="eastAsia"/>
          <w:sz w:val="30"/>
          <w:szCs w:val="30"/>
        </w:rPr>
        <w:t>元，送给何某</w:t>
      </w:r>
      <w:r>
        <w:rPr>
          <w:rFonts w:hint="eastAsia"/>
          <w:sz w:val="30"/>
          <w:szCs w:val="30"/>
        </w:rPr>
        <w:t>31200</w:t>
      </w:r>
      <w:r>
        <w:rPr>
          <w:rFonts w:hint="eastAsia"/>
          <w:sz w:val="30"/>
          <w:szCs w:val="30"/>
        </w:rPr>
        <w:t>元。</w:t>
      </w:r>
    </w:p>
    <w:p w:rsidR="00DF6418" w:rsidRDefault="00DF6418">
      <w:pPr>
        <w:spacing w:line="500" w:lineRule="atLeast"/>
        <w:ind w:firstLine="600"/>
        <w:divId w:val="155762219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日，佛山市禅城区人民检察院侦查人员在已掌握胡某津行贿线索的情况下到其经营场所将其带回调查，</w:t>
      </w:r>
      <w:r>
        <w:rPr>
          <w:rFonts w:hint="eastAsia"/>
          <w:sz w:val="30"/>
          <w:szCs w:val="30"/>
        </w:rPr>
        <w:lastRenderedPageBreak/>
        <w:t>胡某津如实交代了其行贿行为。佛山市禅城区人民检察院依法对其立案侦查。</w:t>
      </w:r>
    </w:p>
    <w:p w:rsidR="00DF6418" w:rsidRDefault="00DF6418">
      <w:pPr>
        <w:spacing w:line="500" w:lineRule="atLeast"/>
        <w:ind w:firstLine="600"/>
        <w:divId w:val="1078022472"/>
        <w:rPr>
          <w:rFonts w:hint="eastAsia"/>
          <w:sz w:val="30"/>
          <w:szCs w:val="30"/>
        </w:rPr>
      </w:pPr>
      <w:r>
        <w:rPr>
          <w:rFonts w:hint="eastAsia"/>
          <w:sz w:val="30"/>
          <w:szCs w:val="30"/>
        </w:rPr>
        <w:t>上述事实，被告人胡某津在开庭审理过程中无异议，并有证人冯某、何某、郭某的证言，到案经过，银行交易记录，微信转账记录，情况说明，关于张槎街道治安联防队伍、流动人员和出租屋管理协管员人员配备和经费使用及管理的通知，佛山市禅城区机构编制委员会办公室关于在流动人口服务管理机构加挂牌子的通知，关于印发张槎街道规范“服务站”建设、强化协管员职责实施办法的通知，户籍资料，被告人胡某津在侦查阶段的供述等证据证实，足以认定。</w:t>
      </w:r>
    </w:p>
    <w:p w:rsidR="00DF6418" w:rsidRDefault="00DF6418">
      <w:pPr>
        <w:spacing w:line="500" w:lineRule="atLeast"/>
        <w:ind w:firstLine="600"/>
        <w:divId w:val="1570768235"/>
        <w:rPr>
          <w:rFonts w:hint="eastAsia"/>
          <w:sz w:val="30"/>
          <w:szCs w:val="30"/>
        </w:rPr>
      </w:pPr>
      <w:r>
        <w:rPr>
          <w:rFonts w:hint="eastAsia"/>
          <w:sz w:val="30"/>
          <w:szCs w:val="30"/>
        </w:rPr>
        <w:t>本院认为，被告人胡某津伙同他人为谋取不正当利益，给予国家工作人员以财物，共计人民币</w:t>
      </w:r>
      <w:r>
        <w:rPr>
          <w:rFonts w:hint="eastAsia"/>
          <w:sz w:val="30"/>
          <w:szCs w:val="30"/>
        </w:rPr>
        <w:t>99200</w:t>
      </w:r>
      <w:r>
        <w:rPr>
          <w:rFonts w:hint="eastAsia"/>
          <w:sz w:val="30"/>
          <w:szCs w:val="30"/>
        </w:rPr>
        <w:t>元，其行为已构成行贿罪。公诉机关的指控成立。被告人胡某津归案后能如实供述犯罪事实，依法可从轻处罚。辩护人据此请求从轻处罚的辩护意见成立，本院予以采纳。公诉机关建议判处被告人胡某津一年以下有期徒刑、并处罚金的量刑意见适当，本院予以采纳。依照《中华人民共和国刑法》第三百八十九条第一款，第三百九十条，第六十七条第三款，第五十二条，第五十三条及《最高人民法院最高人民检察院关于办理贪污贿赂刑事案件适用法律若干问题的解释》第十九条的规定，判决如下：</w:t>
      </w:r>
    </w:p>
    <w:p w:rsidR="00DF6418" w:rsidRDefault="00DF6418">
      <w:pPr>
        <w:spacing w:line="500" w:lineRule="atLeast"/>
        <w:ind w:firstLine="600"/>
        <w:divId w:val="1889493070"/>
        <w:rPr>
          <w:rFonts w:hint="eastAsia"/>
          <w:sz w:val="30"/>
          <w:szCs w:val="30"/>
        </w:rPr>
      </w:pPr>
      <w:r>
        <w:rPr>
          <w:rFonts w:hint="eastAsia"/>
          <w:sz w:val="30"/>
          <w:szCs w:val="30"/>
        </w:rPr>
        <w:t>被告人胡某津犯行贿罪，判处有期徒刑七个月，并处罚金人民币</w:t>
      </w:r>
      <w:r>
        <w:rPr>
          <w:rFonts w:hint="eastAsia"/>
          <w:sz w:val="30"/>
          <w:szCs w:val="30"/>
        </w:rPr>
        <w:t>10</w:t>
      </w:r>
      <w:r>
        <w:rPr>
          <w:rFonts w:hint="eastAsia"/>
          <w:sz w:val="30"/>
          <w:szCs w:val="30"/>
        </w:rPr>
        <w:t>万元。</w:t>
      </w:r>
    </w:p>
    <w:p w:rsidR="00DF6418" w:rsidRDefault="00DF6418">
      <w:pPr>
        <w:spacing w:line="500" w:lineRule="atLeast"/>
        <w:ind w:firstLine="600"/>
        <w:divId w:val="6391908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日止；罚金应在本判决发生法律效力后十日内向本院缴纳。）</w:t>
      </w:r>
    </w:p>
    <w:p w:rsidR="00DF6418" w:rsidRDefault="00DF6418">
      <w:pPr>
        <w:spacing w:line="500" w:lineRule="atLeast"/>
        <w:ind w:firstLine="600"/>
        <w:divId w:val="18043647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DF6418" w:rsidRDefault="00DF6418">
      <w:pPr>
        <w:spacing w:line="500" w:lineRule="atLeast"/>
        <w:jc w:val="right"/>
        <w:divId w:val="366105455"/>
        <w:rPr>
          <w:rFonts w:hint="eastAsia"/>
          <w:sz w:val="30"/>
          <w:szCs w:val="30"/>
        </w:rPr>
      </w:pPr>
      <w:r>
        <w:rPr>
          <w:rFonts w:hint="eastAsia"/>
          <w:sz w:val="30"/>
          <w:szCs w:val="30"/>
        </w:rPr>
        <w:t>审判员　　毛月红</w:t>
      </w:r>
    </w:p>
    <w:p w:rsidR="00DF6418" w:rsidRDefault="00DF6418">
      <w:pPr>
        <w:spacing w:line="500" w:lineRule="atLeast"/>
        <w:jc w:val="right"/>
        <w:divId w:val="1487085725"/>
        <w:rPr>
          <w:rFonts w:hint="eastAsia"/>
          <w:sz w:val="30"/>
          <w:szCs w:val="30"/>
        </w:rPr>
      </w:pPr>
      <w:r>
        <w:rPr>
          <w:rFonts w:hint="eastAsia"/>
          <w:sz w:val="30"/>
          <w:szCs w:val="30"/>
        </w:rPr>
        <w:t>二〇一七年十月二十七日</w:t>
      </w:r>
    </w:p>
    <w:p w:rsidR="00DF6418" w:rsidRDefault="00DF6418">
      <w:pPr>
        <w:spacing w:line="500" w:lineRule="atLeast"/>
        <w:jc w:val="right"/>
        <w:divId w:val="802041146"/>
        <w:rPr>
          <w:rFonts w:hint="eastAsia"/>
          <w:sz w:val="30"/>
          <w:szCs w:val="30"/>
        </w:rPr>
      </w:pPr>
      <w:r>
        <w:rPr>
          <w:rFonts w:hint="eastAsia"/>
          <w:sz w:val="30"/>
          <w:szCs w:val="30"/>
        </w:rPr>
        <w:t>书记员　　刘泳蕾</w:t>
      </w:r>
    </w:p>
    <w:p w:rsidR="00DF6418" w:rsidRDefault="00DF6418">
      <w:pPr>
        <w:spacing w:line="500" w:lineRule="atLeast"/>
        <w:ind w:firstLine="600"/>
        <w:divId w:val="826091059"/>
        <w:rPr>
          <w:rFonts w:hint="eastAsia"/>
          <w:sz w:val="30"/>
          <w:szCs w:val="30"/>
        </w:rPr>
      </w:pPr>
      <w:r>
        <w:rPr>
          <w:rFonts w:hint="eastAsia"/>
          <w:sz w:val="30"/>
          <w:szCs w:val="30"/>
        </w:rPr>
        <w:t>附：一、《中华人民共和国刑法》相关条文</w:t>
      </w:r>
    </w:p>
    <w:p w:rsidR="00DF6418" w:rsidRDefault="00DF6418">
      <w:pPr>
        <w:spacing w:line="500" w:lineRule="atLeast"/>
        <w:ind w:firstLine="600"/>
        <w:divId w:val="6559923"/>
        <w:rPr>
          <w:rFonts w:hint="eastAsia"/>
          <w:sz w:val="30"/>
          <w:szCs w:val="30"/>
        </w:rPr>
      </w:pPr>
      <w:r>
        <w:rPr>
          <w:rFonts w:hint="eastAsia"/>
          <w:sz w:val="30"/>
          <w:szCs w:val="30"/>
        </w:rPr>
        <w:t>第三百八十九条为谋取不正当利益，给予国家工作人员以财物的，是行贿罪。</w:t>
      </w:r>
    </w:p>
    <w:p w:rsidR="00DF6418" w:rsidRDefault="00DF6418">
      <w:pPr>
        <w:spacing w:line="500" w:lineRule="atLeast"/>
        <w:ind w:firstLine="600"/>
        <w:divId w:val="32586439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DF6418" w:rsidRDefault="00DF6418">
      <w:pPr>
        <w:spacing w:line="500" w:lineRule="atLeast"/>
        <w:ind w:firstLine="600"/>
        <w:divId w:val="1761170373"/>
        <w:rPr>
          <w:rFonts w:hint="eastAsia"/>
          <w:sz w:val="30"/>
          <w:szCs w:val="30"/>
        </w:rPr>
      </w:pPr>
      <w:r>
        <w:rPr>
          <w:rFonts w:hint="eastAsia"/>
          <w:sz w:val="30"/>
          <w:szCs w:val="30"/>
        </w:rPr>
        <w:t>因被勒索给予国家工作人员以财物，没有获得不正当利益的，不是行贿。</w:t>
      </w:r>
    </w:p>
    <w:p w:rsidR="00DF6418" w:rsidRDefault="00DF6418">
      <w:pPr>
        <w:spacing w:line="500" w:lineRule="atLeast"/>
        <w:ind w:firstLine="600"/>
        <w:divId w:val="1616206261"/>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DF6418" w:rsidRDefault="00DF6418">
      <w:pPr>
        <w:spacing w:line="500" w:lineRule="atLeast"/>
        <w:ind w:firstLine="600"/>
        <w:divId w:val="40726793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DF6418" w:rsidRDefault="00DF6418">
      <w:pPr>
        <w:spacing w:line="500" w:lineRule="atLeast"/>
        <w:ind w:firstLine="600"/>
        <w:divId w:val="17619464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F6418" w:rsidRDefault="00DF6418">
      <w:pPr>
        <w:spacing w:line="500" w:lineRule="atLeast"/>
        <w:ind w:firstLine="600"/>
        <w:divId w:val="5610186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F6418" w:rsidRDefault="00DF6418">
      <w:pPr>
        <w:spacing w:line="500" w:lineRule="atLeast"/>
        <w:ind w:firstLine="600"/>
        <w:divId w:val="638393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F6418" w:rsidRDefault="00DF6418">
      <w:pPr>
        <w:spacing w:line="500" w:lineRule="atLeast"/>
        <w:ind w:firstLine="600"/>
        <w:divId w:val="481234913"/>
        <w:rPr>
          <w:rFonts w:hint="eastAsia"/>
          <w:sz w:val="30"/>
          <w:szCs w:val="30"/>
        </w:rPr>
      </w:pPr>
      <w:r>
        <w:rPr>
          <w:rFonts w:hint="eastAsia"/>
          <w:sz w:val="30"/>
          <w:szCs w:val="30"/>
        </w:rPr>
        <w:t>第五十二条判处罚金，应当根据犯罪情节决定罚金数额。</w:t>
      </w:r>
    </w:p>
    <w:p w:rsidR="00DF6418" w:rsidRDefault="00DF6418">
      <w:pPr>
        <w:spacing w:line="500" w:lineRule="atLeast"/>
        <w:ind w:firstLine="600"/>
        <w:divId w:val="6652825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F6418" w:rsidRDefault="00DF6418">
      <w:pPr>
        <w:spacing w:line="500" w:lineRule="atLeast"/>
        <w:ind w:firstLine="600"/>
        <w:divId w:val="927927500"/>
        <w:rPr>
          <w:rFonts w:hint="eastAsia"/>
          <w:sz w:val="30"/>
          <w:szCs w:val="30"/>
        </w:rPr>
      </w:pPr>
      <w:r>
        <w:rPr>
          <w:rFonts w:hint="eastAsia"/>
          <w:sz w:val="30"/>
          <w:szCs w:val="30"/>
        </w:rPr>
        <w:t>由于遭遇不能抗拒的灾祸等原因缴纳确实有困难的，经人民法院裁定，可以延期缴纳、酌情减少或者免除。</w:t>
      </w:r>
    </w:p>
    <w:p w:rsidR="00DF6418" w:rsidRDefault="00DF6418">
      <w:pPr>
        <w:spacing w:line="500" w:lineRule="atLeast"/>
        <w:ind w:firstLine="600"/>
        <w:divId w:val="131681211"/>
        <w:rPr>
          <w:rFonts w:hint="eastAsia"/>
          <w:sz w:val="30"/>
          <w:szCs w:val="30"/>
        </w:rPr>
      </w:pPr>
      <w:r>
        <w:rPr>
          <w:rFonts w:hint="eastAsia"/>
          <w:sz w:val="30"/>
          <w:szCs w:val="30"/>
        </w:rPr>
        <w:t>二、《最高人民法院最高人民检察院关于办理贪污贿赂刑事案件适用法律若干问题的解释》相关条文</w:t>
      </w:r>
    </w:p>
    <w:p w:rsidR="00DF6418" w:rsidRDefault="00DF6418">
      <w:pPr>
        <w:spacing w:line="500" w:lineRule="atLeast"/>
        <w:ind w:firstLine="600"/>
        <w:divId w:val="15745798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F6418" w:rsidRDefault="00DF6418">
      <w:pPr>
        <w:spacing w:line="500" w:lineRule="atLeast"/>
        <w:ind w:firstLine="600"/>
        <w:divId w:val="5712348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6418" w:rsidRDefault="00DF6418" w:rsidP="00DF6418">
      <w:pPr>
        <w:rPr>
          <w:rFonts w:hint="eastAsia"/>
        </w:rPr>
      </w:pPr>
      <w:r>
        <w:separator/>
      </w:r>
    </w:p>
  </w:endnote>
  <w:endnote w:type="continuationSeparator" w:id="0">
    <w:p w:rsidR="00DF6418" w:rsidRDefault="00DF6418" w:rsidP="00DF64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6418" w:rsidRDefault="00DF6418" w:rsidP="00DF6418">
      <w:pPr>
        <w:rPr>
          <w:rFonts w:hint="eastAsia"/>
        </w:rPr>
      </w:pPr>
      <w:r>
        <w:separator/>
      </w:r>
    </w:p>
  </w:footnote>
  <w:footnote w:type="continuationSeparator" w:id="0">
    <w:p w:rsidR="00DF6418" w:rsidRDefault="00DF6418" w:rsidP="00DF64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6418"/>
    <w:rsid w:val="007235DD"/>
    <w:rsid w:val="00DF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6418"/>
    <w:pPr>
      <w:tabs>
        <w:tab w:val="center" w:pos="4153"/>
        <w:tab w:val="right" w:pos="8306"/>
      </w:tabs>
      <w:snapToGrid w:val="0"/>
      <w:jc w:val="center"/>
    </w:pPr>
    <w:rPr>
      <w:sz w:val="18"/>
      <w:szCs w:val="18"/>
    </w:rPr>
  </w:style>
  <w:style w:type="character" w:customStyle="1" w:styleId="a4">
    <w:name w:val="页眉 字符"/>
    <w:basedOn w:val="a0"/>
    <w:link w:val="a3"/>
    <w:uiPriority w:val="99"/>
    <w:rsid w:val="00DF6418"/>
    <w:rPr>
      <w:rFonts w:ascii="宋体" w:eastAsia="宋体" w:hAnsi="宋体" w:cs="宋体"/>
      <w:sz w:val="18"/>
      <w:szCs w:val="18"/>
    </w:rPr>
  </w:style>
  <w:style w:type="paragraph" w:styleId="a5">
    <w:name w:val="footer"/>
    <w:basedOn w:val="a"/>
    <w:link w:val="a6"/>
    <w:uiPriority w:val="99"/>
    <w:unhideWhenUsed/>
    <w:rsid w:val="00DF6418"/>
    <w:pPr>
      <w:tabs>
        <w:tab w:val="center" w:pos="4153"/>
        <w:tab w:val="right" w:pos="8306"/>
      </w:tabs>
      <w:snapToGrid w:val="0"/>
    </w:pPr>
    <w:rPr>
      <w:sz w:val="18"/>
      <w:szCs w:val="18"/>
    </w:rPr>
  </w:style>
  <w:style w:type="character" w:customStyle="1" w:styleId="a6">
    <w:name w:val="页脚 字符"/>
    <w:basedOn w:val="a0"/>
    <w:link w:val="a5"/>
    <w:uiPriority w:val="99"/>
    <w:rsid w:val="00DF64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9923">
      <w:marLeft w:val="0"/>
      <w:marRight w:val="0"/>
      <w:marTop w:val="10"/>
      <w:marBottom w:val="10"/>
      <w:divBdr>
        <w:top w:val="none" w:sz="0" w:space="0" w:color="auto"/>
        <w:left w:val="none" w:sz="0" w:space="0" w:color="auto"/>
        <w:bottom w:val="none" w:sz="0" w:space="0" w:color="auto"/>
        <w:right w:val="none" w:sz="0" w:space="0" w:color="auto"/>
      </w:divBdr>
    </w:div>
    <w:div w:id="63839388">
      <w:marLeft w:val="0"/>
      <w:marRight w:val="0"/>
      <w:marTop w:val="10"/>
      <w:marBottom w:val="10"/>
      <w:divBdr>
        <w:top w:val="none" w:sz="0" w:space="0" w:color="auto"/>
        <w:left w:val="none" w:sz="0" w:space="0" w:color="auto"/>
        <w:bottom w:val="none" w:sz="0" w:space="0" w:color="auto"/>
        <w:right w:val="none" w:sz="0" w:space="0" w:color="auto"/>
      </w:divBdr>
    </w:div>
    <w:div w:id="94520748">
      <w:marLeft w:val="0"/>
      <w:marRight w:val="0"/>
      <w:marTop w:val="10"/>
      <w:marBottom w:val="10"/>
      <w:divBdr>
        <w:top w:val="none" w:sz="0" w:space="0" w:color="auto"/>
        <w:left w:val="none" w:sz="0" w:space="0" w:color="auto"/>
        <w:bottom w:val="none" w:sz="0" w:space="0" w:color="auto"/>
        <w:right w:val="none" w:sz="0" w:space="0" w:color="auto"/>
      </w:divBdr>
    </w:div>
    <w:div w:id="131681211">
      <w:marLeft w:val="0"/>
      <w:marRight w:val="0"/>
      <w:marTop w:val="10"/>
      <w:marBottom w:val="10"/>
      <w:divBdr>
        <w:top w:val="none" w:sz="0" w:space="0" w:color="auto"/>
        <w:left w:val="none" w:sz="0" w:space="0" w:color="auto"/>
        <w:bottom w:val="none" w:sz="0" w:space="0" w:color="auto"/>
        <w:right w:val="none" w:sz="0" w:space="0" w:color="auto"/>
      </w:divBdr>
    </w:div>
    <w:div w:id="180436470">
      <w:marLeft w:val="0"/>
      <w:marRight w:val="0"/>
      <w:marTop w:val="10"/>
      <w:marBottom w:val="10"/>
      <w:divBdr>
        <w:top w:val="none" w:sz="0" w:space="0" w:color="auto"/>
        <w:left w:val="none" w:sz="0" w:space="0" w:color="auto"/>
        <w:bottom w:val="none" w:sz="0" w:space="0" w:color="auto"/>
        <w:right w:val="none" w:sz="0" w:space="0" w:color="auto"/>
      </w:divBdr>
    </w:div>
    <w:div w:id="286547375">
      <w:marLeft w:val="0"/>
      <w:marRight w:val="0"/>
      <w:marTop w:val="10"/>
      <w:marBottom w:val="10"/>
      <w:divBdr>
        <w:top w:val="none" w:sz="0" w:space="0" w:color="auto"/>
        <w:left w:val="none" w:sz="0" w:space="0" w:color="auto"/>
        <w:bottom w:val="none" w:sz="0" w:space="0" w:color="auto"/>
        <w:right w:val="none" w:sz="0" w:space="0" w:color="auto"/>
      </w:divBdr>
    </w:div>
    <w:div w:id="325864392">
      <w:marLeft w:val="0"/>
      <w:marRight w:val="0"/>
      <w:marTop w:val="10"/>
      <w:marBottom w:val="10"/>
      <w:divBdr>
        <w:top w:val="none" w:sz="0" w:space="0" w:color="auto"/>
        <w:left w:val="none" w:sz="0" w:space="0" w:color="auto"/>
        <w:bottom w:val="none" w:sz="0" w:space="0" w:color="auto"/>
        <w:right w:val="none" w:sz="0" w:space="0" w:color="auto"/>
      </w:divBdr>
    </w:div>
    <w:div w:id="366105455">
      <w:marLeft w:val="0"/>
      <w:marRight w:val="720"/>
      <w:marTop w:val="10"/>
      <w:marBottom w:val="10"/>
      <w:divBdr>
        <w:top w:val="none" w:sz="0" w:space="0" w:color="auto"/>
        <w:left w:val="none" w:sz="0" w:space="0" w:color="auto"/>
        <w:bottom w:val="none" w:sz="0" w:space="0" w:color="auto"/>
        <w:right w:val="none" w:sz="0" w:space="0" w:color="auto"/>
      </w:divBdr>
    </w:div>
    <w:div w:id="407267938">
      <w:marLeft w:val="0"/>
      <w:marRight w:val="0"/>
      <w:marTop w:val="10"/>
      <w:marBottom w:val="10"/>
      <w:divBdr>
        <w:top w:val="none" w:sz="0" w:space="0" w:color="auto"/>
        <w:left w:val="none" w:sz="0" w:space="0" w:color="auto"/>
        <w:bottom w:val="none" w:sz="0" w:space="0" w:color="auto"/>
        <w:right w:val="none" w:sz="0" w:space="0" w:color="auto"/>
      </w:divBdr>
    </w:div>
    <w:div w:id="416248724">
      <w:marLeft w:val="0"/>
      <w:marRight w:val="0"/>
      <w:marTop w:val="10"/>
      <w:marBottom w:val="10"/>
      <w:divBdr>
        <w:top w:val="none" w:sz="0" w:space="0" w:color="auto"/>
        <w:left w:val="none" w:sz="0" w:space="0" w:color="auto"/>
        <w:bottom w:val="none" w:sz="0" w:space="0" w:color="auto"/>
        <w:right w:val="none" w:sz="0" w:space="0" w:color="auto"/>
      </w:divBdr>
    </w:div>
    <w:div w:id="481234913">
      <w:marLeft w:val="0"/>
      <w:marRight w:val="0"/>
      <w:marTop w:val="10"/>
      <w:marBottom w:val="10"/>
      <w:divBdr>
        <w:top w:val="none" w:sz="0" w:space="0" w:color="auto"/>
        <w:left w:val="none" w:sz="0" w:space="0" w:color="auto"/>
        <w:bottom w:val="none" w:sz="0" w:space="0" w:color="auto"/>
        <w:right w:val="none" w:sz="0" w:space="0" w:color="auto"/>
      </w:divBdr>
    </w:div>
    <w:div w:id="525800470">
      <w:marLeft w:val="0"/>
      <w:marRight w:val="0"/>
      <w:marTop w:val="10"/>
      <w:marBottom w:val="10"/>
      <w:divBdr>
        <w:top w:val="none" w:sz="0" w:space="0" w:color="auto"/>
        <w:left w:val="none" w:sz="0" w:space="0" w:color="auto"/>
        <w:bottom w:val="none" w:sz="0" w:space="0" w:color="auto"/>
        <w:right w:val="none" w:sz="0" w:space="0" w:color="auto"/>
      </w:divBdr>
    </w:div>
    <w:div w:id="561018691">
      <w:marLeft w:val="0"/>
      <w:marRight w:val="0"/>
      <w:marTop w:val="10"/>
      <w:marBottom w:val="10"/>
      <w:divBdr>
        <w:top w:val="none" w:sz="0" w:space="0" w:color="auto"/>
        <w:left w:val="none" w:sz="0" w:space="0" w:color="auto"/>
        <w:bottom w:val="none" w:sz="0" w:space="0" w:color="auto"/>
        <w:right w:val="none" w:sz="0" w:space="0" w:color="auto"/>
      </w:divBdr>
    </w:div>
    <w:div w:id="571234805">
      <w:marLeft w:val="0"/>
      <w:marRight w:val="0"/>
      <w:marTop w:val="10"/>
      <w:marBottom w:val="10"/>
      <w:divBdr>
        <w:top w:val="none" w:sz="0" w:space="0" w:color="auto"/>
        <w:left w:val="none" w:sz="0" w:space="0" w:color="auto"/>
        <w:bottom w:val="none" w:sz="0" w:space="0" w:color="auto"/>
        <w:right w:val="none" w:sz="0" w:space="0" w:color="auto"/>
      </w:divBdr>
    </w:div>
    <w:div w:id="639190872">
      <w:marLeft w:val="0"/>
      <w:marRight w:val="0"/>
      <w:marTop w:val="10"/>
      <w:marBottom w:val="10"/>
      <w:divBdr>
        <w:top w:val="none" w:sz="0" w:space="0" w:color="auto"/>
        <w:left w:val="none" w:sz="0" w:space="0" w:color="auto"/>
        <w:bottom w:val="none" w:sz="0" w:space="0" w:color="auto"/>
        <w:right w:val="none" w:sz="0" w:space="0" w:color="auto"/>
      </w:divBdr>
    </w:div>
    <w:div w:id="665282519">
      <w:marLeft w:val="0"/>
      <w:marRight w:val="0"/>
      <w:marTop w:val="10"/>
      <w:marBottom w:val="10"/>
      <w:divBdr>
        <w:top w:val="none" w:sz="0" w:space="0" w:color="auto"/>
        <w:left w:val="none" w:sz="0" w:space="0" w:color="auto"/>
        <w:bottom w:val="none" w:sz="0" w:space="0" w:color="auto"/>
        <w:right w:val="none" w:sz="0" w:space="0" w:color="auto"/>
      </w:divBdr>
    </w:div>
    <w:div w:id="718671561">
      <w:marLeft w:val="0"/>
      <w:marRight w:val="0"/>
      <w:marTop w:val="10"/>
      <w:marBottom w:val="10"/>
      <w:divBdr>
        <w:top w:val="none" w:sz="0" w:space="0" w:color="auto"/>
        <w:left w:val="none" w:sz="0" w:space="0" w:color="auto"/>
        <w:bottom w:val="none" w:sz="0" w:space="0" w:color="auto"/>
        <w:right w:val="none" w:sz="0" w:space="0" w:color="auto"/>
      </w:divBdr>
    </w:div>
    <w:div w:id="802041146">
      <w:marLeft w:val="0"/>
      <w:marRight w:val="720"/>
      <w:marTop w:val="10"/>
      <w:marBottom w:val="10"/>
      <w:divBdr>
        <w:top w:val="none" w:sz="0" w:space="0" w:color="auto"/>
        <w:left w:val="none" w:sz="0" w:space="0" w:color="auto"/>
        <w:bottom w:val="none" w:sz="0" w:space="0" w:color="auto"/>
        <w:right w:val="none" w:sz="0" w:space="0" w:color="auto"/>
      </w:divBdr>
    </w:div>
    <w:div w:id="826091059">
      <w:marLeft w:val="0"/>
      <w:marRight w:val="0"/>
      <w:marTop w:val="10"/>
      <w:marBottom w:val="10"/>
      <w:divBdr>
        <w:top w:val="none" w:sz="0" w:space="0" w:color="auto"/>
        <w:left w:val="none" w:sz="0" w:space="0" w:color="auto"/>
        <w:bottom w:val="none" w:sz="0" w:space="0" w:color="auto"/>
        <w:right w:val="none" w:sz="0" w:space="0" w:color="auto"/>
      </w:divBdr>
    </w:div>
    <w:div w:id="873268811">
      <w:marLeft w:val="0"/>
      <w:marRight w:val="0"/>
      <w:marTop w:val="10"/>
      <w:marBottom w:val="10"/>
      <w:divBdr>
        <w:top w:val="none" w:sz="0" w:space="0" w:color="auto"/>
        <w:left w:val="none" w:sz="0" w:space="0" w:color="auto"/>
        <w:bottom w:val="none" w:sz="0" w:space="0" w:color="auto"/>
        <w:right w:val="none" w:sz="0" w:space="0" w:color="auto"/>
      </w:divBdr>
    </w:div>
    <w:div w:id="927269283">
      <w:marLeft w:val="0"/>
      <w:marRight w:val="0"/>
      <w:marTop w:val="10"/>
      <w:marBottom w:val="10"/>
      <w:divBdr>
        <w:top w:val="none" w:sz="0" w:space="0" w:color="auto"/>
        <w:left w:val="none" w:sz="0" w:space="0" w:color="auto"/>
        <w:bottom w:val="none" w:sz="0" w:space="0" w:color="auto"/>
        <w:right w:val="none" w:sz="0" w:space="0" w:color="auto"/>
      </w:divBdr>
    </w:div>
    <w:div w:id="927927500">
      <w:marLeft w:val="0"/>
      <w:marRight w:val="0"/>
      <w:marTop w:val="10"/>
      <w:marBottom w:val="10"/>
      <w:divBdr>
        <w:top w:val="none" w:sz="0" w:space="0" w:color="auto"/>
        <w:left w:val="none" w:sz="0" w:space="0" w:color="auto"/>
        <w:bottom w:val="none" w:sz="0" w:space="0" w:color="auto"/>
        <w:right w:val="none" w:sz="0" w:space="0" w:color="auto"/>
      </w:divBdr>
    </w:div>
    <w:div w:id="1078022472">
      <w:marLeft w:val="0"/>
      <w:marRight w:val="0"/>
      <w:marTop w:val="10"/>
      <w:marBottom w:val="10"/>
      <w:divBdr>
        <w:top w:val="none" w:sz="0" w:space="0" w:color="auto"/>
        <w:left w:val="none" w:sz="0" w:space="0" w:color="auto"/>
        <w:bottom w:val="none" w:sz="0" w:space="0" w:color="auto"/>
        <w:right w:val="none" w:sz="0" w:space="0" w:color="auto"/>
      </w:divBdr>
    </w:div>
    <w:div w:id="1079139149">
      <w:marLeft w:val="0"/>
      <w:marRight w:val="0"/>
      <w:marTop w:val="10"/>
      <w:marBottom w:val="10"/>
      <w:divBdr>
        <w:top w:val="none" w:sz="0" w:space="0" w:color="auto"/>
        <w:left w:val="none" w:sz="0" w:space="0" w:color="auto"/>
        <w:bottom w:val="none" w:sz="0" w:space="0" w:color="auto"/>
        <w:right w:val="none" w:sz="0" w:space="0" w:color="auto"/>
      </w:divBdr>
    </w:div>
    <w:div w:id="1487085725">
      <w:marLeft w:val="0"/>
      <w:marRight w:val="720"/>
      <w:marTop w:val="10"/>
      <w:marBottom w:val="10"/>
      <w:divBdr>
        <w:top w:val="none" w:sz="0" w:space="0" w:color="auto"/>
        <w:left w:val="none" w:sz="0" w:space="0" w:color="auto"/>
        <w:bottom w:val="none" w:sz="0" w:space="0" w:color="auto"/>
        <w:right w:val="none" w:sz="0" w:space="0" w:color="auto"/>
      </w:divBdr>
    </w:div>
    <w:div w:id="1557622196">
      <w:marLeft w:val="0"/>
      <w:marRight w:val="0"/>
      <w:marTop w:val="10"/>
      <w:marBottom w:val="10"/>
      <w:divBdr>
        <w:top w:val="none" w:sz="0" w:space="0" w:color="auto"/>
        <w:left w:val="none" w:sz="0" w:space="0" w:color="auto"/>
        <w:bottom w:val="none" w:sz="0" w:space="0" w:color="auto"/>
        <w:right w:val="none" w:sz="0" w:space="0" w:color="auto"/>
      </w:divBdr>
    </w:div>
    <w:div w:id="1570768235">
      <w:marLeft w:val="0"/>
      <w:marRight w:val="0"/>
      <w:marTop w:val="10"/>
      <w:marBottom w:val="10"/>
      <w:divBdr>
        <w:top w:val="none" w:sz="0" w:space="0" w:color="auto"/>
        <w:left w:val="none" w:sz="0" w:space="0" w:color="auto"/>
        <w:bottom w:val="none" w:sz="0" w:space="0" w:color="auto"/>
        <w:right w:val="none" w:sz="0" w:space="0" w:color="auto"/>
      </w:divBdr>
    </w:div>
    <w:div w:id="1574579834">
      <w:marLeft w:val="0"/>
      <w:marRight w:val="0"/>
      <w:marTop w:val="10"/>
      <w:marBottom w:val="10"/>
      <w:divBdr>
        <w:top w:val="none" w:sz="0" w:space="0" w:color="auto"/>
        <w:left w:val="none" w:sz="0" w:space="0" w:color="auto"/>
        <w:bottom w:val="none" w:sz="0" w:space="0" w:color="auto"/>
        <w:right w:val="none" w:sz="0" w:space="0" w:color="auto"/>
      </w:divBdr>
    </w:div>
    <w:div w:id="1616206261">
      <w:marLeft w:val="0"/>
      <w:marRight w:val="0"/>
      <w:marTop w:val="10"/>
      <w:marBottom w:val="10"/>
      <w:divBdr>
        <w:top w:val="none" w:sz="0" w:space="0" w:color="auto"/>
        <w:left w:val="none" w:sz="0" w:space="0" w:color="auto"/>
        <w:bottom w:val="none" w:sz="0" w:space="0" w:color="auto"/>
        <w:right w:val="none" w:sz="0" w:space="0" w:color="auto"/>
      </w:divBdr>
    </w:div>
    <w:div w:id="1761170373">
      <w:marLeft w:val="0"/>
      <w:marRight w:val="0"/>
      <w:marTop w:val="10"/>
      <w:marBottom w:val="10"/>
      <w:divBdr>
        <w:top w:val="none" w:sz="0" w:space="0" w:color="auto"/>
        <w:left w:val="none" w:sz="0" w:space="0" w:color="auto"/>
        <w:bottom w:val="none" w:sz="0" w:space="0" w:color="auto"/>
        <w:right w:val="none" w:sz="0" w:space="0" w:color="auto"/>
      </w:divBdr>
    </w:div>
    <w:div w:id="1761946488">
      <w:marLeft w:val="0"/>
      <w:marRight w:val="0"/>
      <w:marTop w:val="10"/>
      <w:marBottom w:val="10"/>
      <w:divBdr>
        <w:top w:val="none" w:sz="0" w:space="0" w:color="auto"/>
        <w:left w:val="none" w:sz="0" w:space="0" w:color="auto"/>
        <w:bottom w:val="none" w:sz="0" w:space="0" w:color="auto"/>
        <w:right w:val="none" w:sz="0" w:space="0" w:color="auto"/>
      </w:divBdr>
    </w:div>
    <w:div w:id="1889493070">
      <w:marLeft w:val="0"/>
      <w:marRight w:val="0"/>
      <w:marTop w:val="10"/>
      <w:marBottom w:val="10"/>
      <w:divBdr>
        <w:top w:val="none" w:sz="0" w:space="0" w:color="auto"/>
        <w:left w:val="none" w:sz="0" w:space="0" w:color="auto"/>
        <w:bottom w:val="none" w:sz="0" w:space="0" w:color="auto"/>
        <w:right w:val="none" w:sz="0" w:space="0" w:color="auto"/>
      </w:divBdr>
    </w:div>
    <w:div w:id="2122651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