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C2EB" w14:textId="77777777" w:rsidR="00C55FDD" w:rsidRDefault="00C55FDD">
      <w:pPr>
        <w:spacing w:line="500" w:lineRule="atLeast"/>
        <w:ind w:firstLine="600"/>
        <w:divId w:val="2063938304"/>
        <w:rPr>
          <w:sz w:val="30"/>
          <w:szCs w:val="30"/>
        </w:rPr>
      </w:pPr>
      <w:r>
        <w:rPr>
          <w:rFonts w:hint="eastAsia"/>
          <w:sz w:val="30"/>
          <w:szCs w:val="30"/>
        </w:rPr>
        <w:t> </w:t>
      </w:r>
    </w:p>
    <w:p w14:paraId="7C3FA4AF" w14:textId="77777777" w:rsidR="00C55FDD" w:rsidRDefault="00C55FDD">
      <w:pPr>
        <w:spacing w:line="500" w:lineRule="atLeast"/>
        <w:jc w:val="center"/>
        <w:divId w:val="35967210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广东省深圳市南山区人民法院</w:t>
      </w:r>
    </w:p>
    <w:p w14:paraId="309DBC65" w14:textId="77777777" w:rsidR="00C55FDD" w:rsidRDefault="00C55FDD">
      <w:pPr>
        <w:spacing w:line="500" w:lineRule="atLeast"/>
        <w:jc w:val="center"/>
        <w:divId w:val="118354630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E513B0B" w14:textId="77777777" w:rsidR="00C55FDD" w:rsidRDefault="00C55FDD">
      <w:pPr>
        <w:spacing w:line="500" w:lineRule="atLeast"/>
        <w:jc w:val="right"/>
        <w:divId w:val="6774691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470</w:t>
      </w:r>
      <w:r>
        <w:rPr>
          <w:rFonts w:hint="eastAsia"/>
          <w:sz w:val="30"/>
          <w:szCs w:val="30"/>
        </w:rPr>
        <w:t>号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1"/>
        <w:gridCol w:w="3806"/>
        <w:gridCol w:w="1707"/>
        <w:gridCol w:w="2226"/>
      </w:tblGrid>
      <w:tr w:rsidR="00000000" w14:paraId="4AB23983" w14:textId="77777777">
        <w:trPr>
          <w:divId w:val="1236821202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2F25A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公诉机关</w:t>
            </w:r>
          </w:p>
        </w:tc>
        <w:tc>
          <w:tcPr>
            <w:tcW w:w="3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87355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深圳市南山区人民检察院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D81D6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适用程序</w:t>
            </w:r>
          </w:p>
        </w:tc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AAF42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简易程序</w:t>
            </w:r>
          </w:p>
        </w:tc>
      </w:tr>
      <w:tr w:rsidR="00000000" w14:paraId="029CFA98" w14:textId="77777777">
        <w:trPr>
          <w:divId w:val="1236821202"/>
          <w:trHeight w:val="1118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53BD2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</w:t>
            </w:r>
          </w:p>
          <w:p w14:paraId="0AE4A9FB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信息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9A8A0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被告人胡某祥，男。因本案于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日自动投案，次日被深圳市南山区人民检察院刑事拘留，于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日被深圳市南山区人民检察院逮捕。现羁押于深圳市南山区看守所。</w:t>
            </w:r>
          </w:p>
          <w:p w14:paraId="67A6BC91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辩护人单冬，广东巨通律师事务所律师。</w:t>
            </w:r>
          </w:p>
        </w:tc>
      </w:tr>
      <w:tr w:rsidR="00000000" w14:paraId="13432505" w14:textId="77777777">
        <w:trPr>
          <w:divId w:val="1236821202"/>
          <w:trHeight w:val="570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65815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指控意见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E06AF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公诉机关以深南检刑诉〔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〕</w:t>
            </w:r>
            <w:r>
              <w:rPr>
                <w:rFonts w:hint="eastAsia"/>
              </w:rPr>
              <w:t>437</w:t>
            </w:r>
            <w:r>
              <w:rPr>
                <w:rFonts w:hint="eastAsia"/>
              </w:rPr>
              <w:t>号起诉书指控被告人胡某祥犯受贿罪、帮助犯罪分子逃避处罚罪，建议判处二年以下有期徒刑，并处罚金。</w:t>
            </w:r>
          </w:p>
        </w:tc>
      </w:tr>
      <w:tr w:rsidR="00000000" w14:paraId="41FB95D2" w14:textId="77777777">
        <w:trPr>
          <w:divId w:val="1236821202"/>
          <w:trHeight w:val="323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FE233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辩护意见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5668A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被告人胡某祥对起诉书指控的犯罪事实无异议，并认罪。其辩护人发表辩护意见称，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、被告人具有自首情节。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、被告人是在行贿人多次要求的情况下才接受了贿赂，其主观恶性较小，社会危害性较小。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、被告人一贯表现较好，其因为法律意识淡薄，经济拮据才走上犯罪道路。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、即便行贿人构成危险驾驶罪，该罪亦属轻罪。行贿人酒后驾驶行为未发生实际危害，被告人帮助行贿人逃避处罚，其犯罪情节较轻。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、被告人认罪态度好，已全额退赃。综上，希望法庭对其从轻处罚。</w:t>
            </w:r>
          </w:p>
        </w:tc>
      </w:tr>
      <w:tr w:rsidR="00000000" w14:paraId="6EE41121" w14:textId="77777777">
        <w:trPr>
          <w:divId w:val="1236821202"/>
          <w:trHeight w:val="270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F8363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查明事实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04E99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与起诉书指控的犯罪事实一致。</w:t>
            </w:r>
          </w:p>
        </w:tc>
      </w:tr>
      <w:tr w:rsidR="00000000" w14:paraId="6AC48D32" w14:textId="77777777">
        <w:trPr>
          <w:divId w:val="1236821202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21F1E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本院意见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08CC1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被告人胡某祥构成受贿罪、帮助犯罪分子逃避处罚罪。被告人胡某祥具有认罪态度好、自首的从轻处罚情节。</w:t>
            </w:r>
          </w:p>
        </w:tc>
      </w:tr>
      <w:tr w:rsidR="00000000" w14:paraId="65171D11" w14:textId="77777777">
        <w:trPr>
          <w:divId w:val="1236821202"/>
          <w:trHeight w:val="233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9A324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判决根据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445D1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《中华人民共和国刑法》第三百八十五条第一款、第四百一十七条、第六十七条、第六十九条。</w:t>
            </w:r>
          </w:p>
        </w:tc>
      </w:tr>
      <w:tr w:rsidR="00000000" w14:paraId="74BE9908" w14:textId="77777777">
        <w:trPr>
          <w:divId w:val="1236821202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31394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判决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2FF03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一、被告人胡某祥犯受贿罪，判处有期徒刑十个月，并处罚金人民币十万元；犯帮助犯罪分子逃避处罚罪，判处有期徒刑八个月，数罪并罚，决定执行有期徒刑一年二个月，并处罚金人民币十万元。</w:t>
            </w:r>
          </w:p>
          <w:p w14:paraId="498E05A8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（刑期从判决执行之日起计算，判决执行以前先行羁押的，羁押一日折抵刑期一日，即自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日起执行至</w:t>
            </w:r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日止；罚金自本判决生效之日起十日内向本院缴纳，上缴国库。）</w:t>
            </w:r>
          </w:p>
          <w:p w14:paraId="687BE9A0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二、赃款人民币</w:t>
            </w:r>
            <w:r>
              <w:rPr>
                <w:rFonts w:hint="eastAsia"/>
              </w:rPr>
              <w:t>68000</w:t>
            </w:r>
            <w:r>
              <w:rPr>
                <w:rFonts w:hint="eastAsia"/>
              </w:rPr>
              <w:t>元由扣押机关依法没收，上缴国库。</w:t>
            </w:r>
          </w:p>
        </w:tc>
      </w:tr>
      <w:tr w:rsidR="00000000" w14:paraId="27C182A1" w14:textId="77777777">
        <w:trPr>
          <w:divId w:val="1236821202"/>
          <w:tblCellSpacing w:w="0" w:type="dxa"/>
          <w:jc w:val="center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1B60D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如不服本判决，可于接到判决书的第二日起十日内，通过本院或者直接向广东省深圳市中级人民法院提起上诉。书面上诉的，应当提交上诉状正本一份、副本二份。</w:t>
            </w:r>
          </w:p>
          <w:p w14:paraId="0FB1EB2A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379766F3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 </w:t>
            </w:r>
          </w:p>
          <w:p w14:paraId="46555710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52F9D209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员　　　何湘波</w:t>
            </w:r>
          </w:p>
          <w:p w14:paraId="54FB7936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4E65F391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383DF18B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3B68429B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二○一七年四月十一日</w:t>
            </w:r>
          </w:p>
          <w:p w14:paraId="29CFF75F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2A51C0CB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1D5DF7F3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38FDF4B4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员　　　董硕语</w:t>
            </w:r>
          </w:p>
          <w:p w14:paraId="01A1658D" w14:textId="77777777" w:rsidR="00C55FDD" w:rsidRDefault="00C55FD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</w:tc>
      </w:tr>
    </w:tbl>
    <w:p w14:paraId="45BD1B01" w14:textId="77777777" w:rsidR="00C55FDD" w:rsidRDefault="00C55FDD">
      <w:pPr>
        <w:spacing w:line="500" w:lineRule="atLeast"/>
        <w:ind w:firstLine="600"/>
        <w:divId w:val="16026841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15F20" w14:textId="77777777" w:rsidR="00C55FDD" w:rsidRDefault="00C55FDD" w:rsidP="00C55FDD">
      <w:pPr>
        <w:rPr>
          <w:rFonts w:hint="eastAsia"/>
        </w:rPr>
      </w:pPr>
      <w:r>
        <w:separator/>
      </w:r>
    </w:p>
  </w:endnote>
  <w:endnote w:type="continuationSeparator" w:id="0">
    <w:p w14:paraId="17FA3B7D" w14:textId="77777777" w:rsidR="00C55FDD" w:rsidRDefault="00C55FDD" w:rsidP="00C55F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213E4" w14:textId="77777777" w:rsidR="00C55FDD" w:rsidRDefault="00C55FDD" w:rsidP="00C55FDD">
      <w:pPr>
        <w:rPr>
          <w:rFonts w:hint="eastAsia"/>
        </w:rPr>
      </w:pPr>
      <w:r>
        <w:separator/>
      </w:r>
    </w:p>
  </w:footnote>
  <w:footnote w:type="continuationSeparator" w:id="0">
    <w:p w14:paraId="071C71BE" w14:textId="77777777" w:rsidR="00C55FDD" w:rsidRDefault="00C55FDD" w:rsidP="00C55FD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DD"/>
    <w:rsid w:val="007235DD"/>
    <w:rsid w:val="00C5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341B3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5F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5FDD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5FD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5FD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6721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91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3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12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1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3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