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4D1C" w:rsidRDefault="00134D1C">
      <w:pPr>
        <w:spacing w:line="500" w:lineRule="atLeast"/>
        <w:jc w:val="center"/>
        <w:divId w:val="1242061174"/>
        <w:rPr>
          <w:rFonts w:ascii="黑体" w:eastAsia="黑体" w:hAnsi="黑体"/>
          <w:sz w:val="36"/>
          <w:szCs w:val="36"/>
        </w:rPr>
      </w:pPr>
      <w:r>
        <w:rPr>
          <w:rFonts w:ascii="黑体" w:eastAsia="黑体" w:hAnsi="黑体" w:hint="eastAsia"/>
          <w:sz w:val="36"/>
          <w:szCs w:val="36"/>
        </w:rPr>
        <w:t>广东省潮州市中级人民法院</w:t>
      </w:r>
    </w:p>
    <w:p w:rsidR="00134D1C" w:rsidRDefault="00134D1C">
      <w:pPr>
        <w:spacing w:line="500" w:lineRule="atLeast"/>
        <w:jc w:val="center"/>
        <w:divId w:val="3785503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34D1C" w:rsidRDefault="00134D1C">
      <w:pPr>
        <w:spacing w:line="500" w:lineRule="atLeast"/>
        <w:jc w:val="right"/>
        <w:divId w:val="12940073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w:t>
      </w:r>
      <w:r>
        <w:rPr>
          <w:rFonts w:hint="eastAsia"/>
          <w:sz w:val="30"/>
          <w:szCs w:val="30"/>
        </w:rPr>
        <w:t>刑终</w:t>
      </w:r>
      <w:r>
        <w:rPr>
          <w:rFonts w:hint="eastAsia"/>
          <w:sz w:val="30"/>
          <w:szCs w:val="30"/>
        </w:rPr>
        <w:t>40</w:t>
      </w:r>
      <w:r>
        <w:rPr>
          <w:rFonts w:hint="eastAsia"/>
          <w:sz w:val="30"/>
          <w:szCs w:val="30"/>
        </w:rPr>
        <w:t>号</w:t>
      </w:r>
    </w:p>
    <w:p w:rsidR="00134D1C" w:rsidRDefault="00134D1C">
      <w:pPr>
        <w:spacing w:line="500" w:lineRule="atLeast"/>
        <w:ind w:firstLine="600"/>
        <w:divId w:val="930354143"/>
        <w:rPr>
          <w:rFonts w:hint="eastAsia"/>
          <w:sz w:val="30"/>
          <w:szCs w:val="30"/>
        </w:rPr>
      </w:pPr>
      <w:r>
        <w:rPr>
          <w:rFonts w:hint="eastAsia"/>
          <w:sz w:val="30"/>
          <w:szCs w:val="30"/>
        </w:rPr>
        <w:t>原公诉机关饶平县人民检察院。</w:t>
      </w:r>
    </w:p>
    <w:p w:rsidR="00134D1C" w:rsidRDefault="00134D1C">
      <w:pPr>
        <w:spacing w:line="500" w:lineRule="atLeast"/>
        <w:ind w:firstLine="600"/>
        <w:divId w:val="1325671274"/>
        <w:rPr>
          <w:rFonts w:hint="eastAsia"/>
          <w:sz w:val="30"/>
          <w:szCs w:val="30"/>
        </w:rPr>
      </w:pPr>
      <w:r>
        <w:rPr>
          <w:rFonts w:hint="eastAsia"/>
          <w:sz w:val="30"/>
          <w:szCs w:val="30"/>
        </w:rPr>
        <w:t>上诉人（原审被告人）莫佳财，男，</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日出生，广东省潮州市人，汉族，大专文化程度，原系潮州市房地产管理局第三房管所副所长、负责人，户籍地潮州市湘桥区，住潮州市湘桥区。因本案于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8</w:t>
      </w:r>
      <w:r>
        <w:rPr>
          <w:rFonts w:hint="eastAsia"/>
          <w:sz w:val="30"/>
          <w:szCs w:val="30"/>
        </w:rPr>
        <w:t>月</w:t>
      </w:r>
      <w:r>
        <w:rPr>
          <w:rFonts w:hint="eastAsia"/>
          <w:sz w:val="30"/>
          <w:szCs w:val="30"/>
        </w:rPr>
        <w:t>31</w:t>
      </w:r>
      <w:r>
        <w:rPr>
          <w:rFonts w:hint="eastAsia"/>
          <w:sz w:val="30"/>
          <w:szCs w:val="30"/>
        </w:rPr>
        <w:t>日分别被饶平县人民检察院、饶平县人民法院取保候审。</w:t>
      </w:r>
    </w:p>
    <w:p w:rsidR="00134D1C" w:rsidRDefault="00134D1C">
      <w:pPr>
        <w:spacing w:line="500" w:lineRule="atLeast"/>
        <w:ind w:firstLine="600"/>
        <w:divId w:val="816382672"/>
        <w:rPr>
          <w:rFonts w:hint="eastAsia"/>
          <w:sz w:val="30"/>
          <w:szCs w:val="30"/>
        </w:rPr>
      </w:pPr>
      <w:r>
        <w:rPr>
          <w:rFonts w:hint="eastAsia"/>
          <w:sz w:val="30"/>
          <w:szCs w:val="30"/>
        </w:rPr>
        <w:t>饶平县人民法院审理饶平县人民检察院指控原审被告人莫佳财私分国有资产一案，于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119</w:t>
      </w:r>
      <w:r>
        <w:rPr>
          <w:rFonts w:hint="eastAsia"/>
          <w:sz w:val="30"/>
          <w:szCs w:val="30"/>
        </w:rPr>
        <w:t>号刑事判决。宣判后，原审被告人莫佳财不服，提出上诉。本院受理后，依法组成合议庭，经过阅卷，讯问原审被告人，认为本案事实清楚，决定不开庭审理。现已审理终结。</w:t>
      </w:r>
    </w:p>
    <w:p w:rsidR="00134D1C" w:rsidRDefault="00134D1C">
      <w:pPr>
        <w:spacing w:line="500" w:lineRule="atLeast"/>
        <w:ind w:firstLine="600"/>
        <w:divId w:val="2090150962"/>
        <w:rPr>
          <w:rFonts w:hint="eastAsia"/>
          <w:sz w:val="30"/>
          <w:szCs w:val="30"/>
        </w:rPr>
      </w:pPr>
      <w:r>
        <w:rPr>
          <w:rFonts w:hint="eastAsia"/>
          <w:sz w:val="30"/>
          <w:szCs w:val="30"/>
        </w:rPr>
        <w:t>原审判决认定：</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月，被告人莫佳财在任潮州市房地产管理局第三房地产管理所副所长（负责全面工作）期间，违反国家规定，多次授意他人通过虚开发票等方式，套取该所账户内的行政经费合计</w:t>
      </w:r>
      <w:r>
        <w:rPr>
          <w:rFonts w:hint="eastAsia"/>
          <w:sz w:val="30"/>
          <w:szCs w:val="30"/>
        </w:rPr>
        <w:t>150455.6</w:t>
      </w:r>
      <w:r>
        <w:rPr>
          <w:rFonts w:hint="eastAsia"/>
          <w:sz w:val="30"/>
          <w:szCs w:val="30"/>
        </w:rPr>
        <w:t>元，并多次决定以单位名义通过发放节日补贴、加班补贴的形式将其中的</w:t>
      </w:r>
      <w:r>
        <w:rPr>
          <w:rFonts w:hint="eastAsia"/>
          <w:sz w:val="30"/>
          <w:szCs w:val="30"/>
        </w:rPr>
        <w:t>133500</w:t>
      </w:r>
      <w:r>
        <w:rPr>
          <w:rFonts w:hint="eastAsia"/>
          <w:sz w:val="30"/>
          <w:szCs w:val="30"/>
        </w:rPr>
        <w:t>元集体私分给该所的</w:t>
      </w:r>
      <w:r>
        <w:rPr>
          <w:rFonts w:hint="eastAsia"/>
          <w:sz w:val="30"/>
          <w:szCs w:val="30"/>
        </w:rPr>
        <w:t>19</w:t>
      </w:r>
      <w:r>
        <w:rPr>
          <w:rFonts w:hint="eastAsia"/>
          <w:sz w:val="30"/>
          <w:szCs w:val="30"/>
        </w:rPr>
        <w:t>名工作人员，其中被告人莫佳财分得</w:t>
      </w:r>
      <w:r>
        <w:rPr>
          <w:rFonts w:hint="eastAsia"/>
          <w:sz w:val="30"/>
          <w:szCs w:val="30"/>
        </w:rPr>
        <w:t>11000</w:t>
      </w:r>
      <w:r>
        <w:rPr>
          <w:rFonts w:hint="eastAsia"/>
          <w:sz w:val="30"/>
          <w:szCs w:val="30"/>
        </w:rPr>
        <w:t>元；余款用于付还虚开发票的税点及该所的日常办公费用等开支。</w:t>
      </w:r>
    </w:p>
    <w:p w:rsidR="00134D1C" w:rsidRDefault="00134D1C">
      <w:pPr>
        <w:spacing w:line="500" w:lineRule="atLeast"/>
        <w:ind w:firstLine="600"/>
        <w:divId w:val="201329978"/>
        <w:rPr>
          <w:rFonts w:hint="eastAsia"/>
          <w:sz w:val="30"/>
          <w:szCs w:val="30"/>
        </w:rPr>
      </w:pPr>
      <w:r>
        <w:rPr>
          <w:rFonts w:hint="eastAsia"/>
          <w:sz w:val="30"/>
          <w:szCs w:val="30"/>
        </w:rPr>
        <w:t>在潮州市房地产管理局组织的财务自查过程中，莫佳财主动反映了集体私分国有资产的事实，并在潮州市纪委调查期间，主动组织该所工作人员退缴了全部款项</w:t>
      </w:r>
      <w:r>
        <w:rPr>
          <w:rFonts w:hint="eastAsia"/>
          <w:sz w:val="30"/>
          <w:szCs w:val="30"/>
        </w:rPr>
        <w:t>133500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日，莫佳财到饶平县人民检察院接受调查。</w:t>
      </w:r>
    </w:p>
    <w:p w:rsidR="00134D1C" w:rsidRDefault="00134D1C">
      <w:pPr>
        <w:spacing w:line="500" w:lineRule="atLeast"/>
        <w:ind w:firstLine="600"/>
        <w:divId w:val="2064793180"/>
        <w:rPr>
          <w:rFonts w:hint="eastAsia"/>
          <w:sz w:val="30"/>
          <w:szCs w:val="30"/>
        </w:rPr>
      </w:pPr>
      <w:r>
        <w:rPr>
          <w:rFonts w:hint="eastAsia"/>
          <w:sz w:val="30"/>
          <w:szCs w:val="30"/>
        </w:rPr>
        <w:lastRenderedPageBreak/>
        <w:t>原审判决依据公诉机关当庭出示的证人证言、身份证实材料、归案证实材料、退款收据、视听资料、被告人供述及相关书证等认定上述事实，认为被告人莫佳财的行为已构成私分国有资产罪，应依法予以惩处；被告人莫佳财有自首，依法予以从轻处罚；鉴于其案发后能积极退还赃款，确有悔罪表现，且具备监管条件，对其宣告缓刑对所居住社区没有重大不良影响，可予适用缓刑。依照《中华人民共和国刑法》第三百九十六条第一款，第六十七条第一款，第七十二条第一、三款，第七十三条第一、三款，第七十六条，第五十二条以及《最高人民法院、最高人民检察院关于办理贪污贿赂刑事案件适用法律若干问题的解释》第十九条第二款之规定，作出如下判决：被告人莫佳财犯私分国有资产罪，判处拘役六个月，缓刑一年，并处罚金人民币十万元，限于本判决生效之日起十日内缴纳。</w:t>
      </w:r>
    </w:p>
    <w:p w:rsidR="00134D1C" w:rsidRDefault="00134D1C">
      <w:pPr>
        <w:spacing w:line="500" w:lineRule="atLeast"/>
        <w:ind w:firstLine="600"/>
        <w:divId w:val="1715346836"/>
        <w:rPr>
          <w:rFonts w:hint="eastAsia"/>
          <w:sz w:val="30"/>
          <w:szCs w:val="30"/>
        </w:rPr>
      </w:pPr>
      <w:r>
        <w:rPr>
          <w:rFonts w:hint="eastAsia"/>
          <w:sz w:val="30"/>
          <w:szCs w:val="30"/>
        </w:rPr>
        <w:t>上诉人莫佳财上诉称：</w:t>
      </w:r>
      <w:r>
        <w:rPr>
          <w:rFonts w:hint="eastAsia"/>
          <w:sz w:val="30"/>
          <w:szCs w:val="30"/>
        </w:rPr>
        <w:t>1</w:t>
      </w:r>
      <w:r>
        <w:rPr>
          <w:rFonts w:hint="eastAsia"/>
          <w:sz w:val="30"/>
          <w:szCs w:val="30"/>
        </w:rPr>
        <w:t>、其犯罪情节轻微，有自首情节，积极退缴赃款，认罪、悔罪态度较好。</w:t>
      </w:r>
      <w:r>
        <w:rPr>
          <w:rFonts w:hint="eastAsia"/>
          <w:sz w:val="30"/>
          <w:szCs w:val="30"/>
        </w:rPr>
        <w:t>2</w:t>
      </w:r>
      <w:r>
        <w:rPr>
          <w:rFonts w:hint="eastAsia"/>
          <w:sz w:val="30"/>
          <w:szCs w:val="30"/>
        </w:rPr>
        <w:t>、其做法是参照原单位的一贯做法，目的也是刺激工作人员的工作积极性，无主观恶意，行为的社会危害性较小。</w:t>
      </w:r>
      <w:r>
        <w:rPr>
          <w:rFonts w:hint="eastAsia"/>
          <w:sz w:val="30"/>
          <w:szCs w:val="30"/>
        </w:rPr>
        <w:t>3</w:t>
      </w:r>
      <w:r>
        <w:rPr>
          <w:rFonts w:hint="eastAsia"/>
          <w:sz w:val="30"/>
          <w:szCs w:val="30"/>
        </w:rPr>
        <w:t>、其没有从重处罚的情节，犯罪行为产生的损失已经挽回，也没有再犯的可能，具备免予刑事处罚的条件。综上，请依法改判对其免予刑事处罚。</w:t>
      </w:r>
    </w:p>
    <w:p w:rsidR="00134D1C" w:rsidRDefault="00134D1C">
      <w:pPr>
        <w:spacing w:line="500" w:lineRule="atLeast"/>
        <w:ind w:firstLine="600"/>
        <w:divId w:val="1357190462"/>
        <w:rPr>
          <w:rFonts w:hint="eastAsia"/>
          <w:sz w:val="30"/>
          <w:szCs w:val="30"/>
        </w:rPr>
      </w:pPr>
      <w:r>
        <w:rPr>
          <w:rFonts w:hint="eastAsia"/>
          <w:sz w:val="30"/>
          <w:szCs w:val="30"/>
        </w:rPr>
        <w:t>经二审审理查明的事实、证据与原审一致，本院予以确认。</w:t>
      </w:r>
    </w:p>
    <w:p w:rsidR="00134D1C" w:rsidRDefault="00134D1C">
      <w:pPr>
        <w:spacing w:line="500" w:lineRule="atLeast"/>
        <w:ind w:firstLine="600"/>
        <w:divId w:val="1982923987"/>
        <w:rPr>
          <w:rFonts w:hint="eastAsia"/>
          <w:sz w:val="30"/>
          <w:szCs w:val="30"/>
        </w:rPr>
      </w:pPr>
      <w:r>
        <w:rPr>
          <w:rFonts w:hint="eastAsia"/>
          <w:sz w:val="30"/>
          <w:szCs w:val="30"/>
        </w:rPr>
        <w:t>本院认为，上诉人莫佳财在担任国有事业单位负责人期间，违反国家规定，多次决定以单位名义将国有资产集体私分给个人，数额较大，其行为已构成私分国有资产罪。</w:t>
      </w:r>
    </w:p>
    <w:p w:rsidR="00134D1C" w:rsidRDefault="00134D1C">
      <w:pPr>
        <w:spacing w:line="500" w:lineRule="atLeast"/>
        <w:ind w:firstLine="600"/>
        <w:divId w:val="508644672"/>
        <w:rPr>
          <w:rFonts w:hint="eastAsia"/>
          <w:sz w:val="30"/>
          <w:szCs w:val="30"/>
        </w:rPr>
      </w:pPr>
      <w:r>
        <w:rPr>
          <w:rFonts w:hint="eastAsia"/>
          <w:sz w:val="30"/>
          <w:szCs w:val="30"/>
        </w:rPr>
        <w:t>上诉人莫佳财提出对其免予刑事处罚的上诉意见。经查，上诉人莫佳财所犯罪行较轻，犯罪以后主动投案，如实供述自己的罪行，系自首，在立案侦查前又主动组织退缴全部违法所得，确有悔罪表现，其上诉提出理由予以采纳。</w:t>
      </w:r>
    </w:p>
    <w:p w:rsidR="00134D1C" w:rsidRDefault="00134D1C">
      <w:pPr>
        <w:spacing w:line="500" w:lineRule="atLeast"/>
        <w:ind w:firstLine="600"/>
        <w:divId w:val="1031488814"/>
        <w:rPr>
          <w:rFonts w:hint="eastAsia"/>
          <w:sz w:val="30"/>
          <w:szCs w:val="30"/>
        </w:rPr>
      </w:pPr>
      <w:r>
        <w:rPr>
          <w:rFonts w:hint="eastAsia"/>
          <w:sz w:val="30"/>
          <w:szCs w:val="30"/>
        </w:rPr>
        <w:t>综上，原审判决认定事实清楚，证据确实、充分，定罪正确，审判程序合法，上诉人莫佳财在本案中所犯之罪，没有从重量刑要素，且有免予刑事处罚的情形，对其可依法免予刑事处罚。依照《中华人民共和国刑法》第三百九十六条第一款、第六十七条第一款、第三十七条，《中华人民共和国刑事诉讼法》第二百二十五条第一款第（二）项之规定，判决如下：</w:t>
      </w:r>
    </w:p>
    <w:p w:rsidR="00134D1C" w:rsidRDefault="00134D1C">
      <w:pPr>
        <w:spacing w:line="500" w:lineRule="atLeast"/>
        <w:ind w:firstLine="600"/>
        <w:divId w:val="120879929"/>
        <w:rPr>
          <w:rFonts w:hint="eastAsia"/>
          <w:sz w:val="30"/>
          <w:szCs w:val="30"/>
        </w:rPr>
      </w:pPr>
      <w:r>
        <w:rPr>
          <w:rFonts w:hint="eastAsia"/>
          <w:sz w:val="30"/>
          <w:szCs w:val="30"/>
        </w:rPr>
        <w:t>一、维持饶平县人民法院（</w:t>
      </w:r>
      <w:r>
        <w:rPr>
          <w:rFonts w:hint="eastAsia"/>
          <w:sz w:val="30"/>
          <w:szCs w:val="30"/>
        </w:rPr>
        <w:t>2016</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119</w:t>
      </w:r>
      <w:r>
        <w:rPr>
          <w:rFonts w:hint="eastAsia"/>
          <w:sz w:val="30"/>
          <w:szCs w:val="30"/>
        </w:rPr>
        <w:t>号刑事判决的定罪部分。</w:t>
      </w:r>
    </w:p>
    <w:p w:rsidR="00134D1C" w:rsidRDefault="00134D1C">
      <w:pPr>
        <w:spacing w:line="500" w:lineRule="atLeast"/>
        <w:ind w:firstLine="600"/>
        <w:divId w:val="1525443001"/>
        <w:rPr>
          <w:rFonts w:hint="eastAsia"/>
          <w:sz w:val="30"/>
          <w:szCs w:val="30"/>
        </w:rPr>
      </w:pPr>
      <w:r>
        <w:rPr>
          <w:rFonts w:hint="eastAsia"/>
          <w:sz w:val="30"/>
          <w:szCs w:val="30"/>
        </w:rPr>
        <w:t>二、撤销饶平县人民法院（</w:t>
      </w:r>
      <w:r>
        <w:rPr>
          <w:rFonts w:hint="eastAsia"/>
          <w:sz w:val="30"/>
          <w:szCs w:val="30"/>
        </w:rPr>
        <w:t>2016</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119</w:t>
      </w:r>
      <w:r>
        <w:rPr>
          <w:rFonts w:hint="eastAsia"/>
          <w:sz w:val="30"/>
          <w:szCs w:val="30"/>
        </w:rPr>
        <w:t>号刑事判决的量刑部分。</w:t>
      </w:r>
    </w:p>
    <w:p w:rsidR="00134D1C" w:rsidRDefault="00134D1C">
      <w:pPr>
        <w:spacing w:line="500" w:lineRule="atLeast"/>
        <w:ind w:firstLine="600"/>
        <w:divId w:val="151334879"/>
        <w:rPr>
          <w:rFonts w:hint="eastAsia"/>
          <w:sz w:val="30"/>
          <w:szCs w:val="30"/>
        </w:rPr>
      </w:pPr>
      <w:r>
        <w:rPr>
          <w:rFonts w:hint="eastAsia"/>
          <w:sz w:val="30"/>
          <w:szCs w:val="30"/>
        </w:rPr>
        <w:t>三、上诉人莫佳财犯私分国有资产罪，免予刑事处罚。</w:t>
      </w:r>
    </w:p>
    <w:p w:rsidR="00134D1C" w:rsidRDefault="00134D1C">
      <w:pPr>
        <w:spacing w:line="500" w:lineRule="atLeast"/>
        <w:ind w:firstLine="600"/>
        <w:divId w:val="341131092"/>
        <w:rPr>
          <w:rFonts w:hint="eastAsia"/>
          <w:sz w:val="30"/>
          <w:szCs w:val="30"/>
        </w:rPr>
      </w:pPr>
      <w:r>
        <w:rPr>
          <w:rFonts w:hint="eastAsia"/>
          <w:sz w:val="30"/>
          <w:szCs w:val="30"/>
        </w:rPr>
        <w:t>本判决为终审判决。</w:t>
      </w:r>
    </w:p>
    <w:p w:rsidR="00134D1C" w:rsidRDefault="00134D1C">
      <w:pPr>
        <w:spacing w:line="500" w:lineRule="atLeast"/>
        <w:jc w:val="right"/>
        <w:divId w:val="554581466"/>
        <w:rPr>
          <w:rFonts w:hint="eastAsia"/>
          <w:sz w:val="30"/>
          <w:szCs w:val="30"/>
        </w:rPr>
      </w:pPr>
      <w:r>
        <w:rPr>
          <w:rFonts w:hint="eastAsia"/>
          <w:sz w:val="30"/>
          <w:szCs w:val="30"/>
        </w:rPr>
        <w:t>审　判　长　　林钟彪</w:t>
      </w:r>
    </w:p>
    <w:p w:rsidR="00134D1C" w:rsidRDefault="00134D1C">
      <w:pPr>
        <w:spacing w:line="500" w:lineRule="atLeast"/>
        <w:jc w:val="right"/>
        <w:divId w:val="1807626902"/>
        <w:rPr>
          <w:rFonts w:hint="eastAsia"/>
          <w:sz w:val="30"/>
          <w:szCs w:val="30"/>
        </w:rPr>
      </w:pPr>
      <w:r>
        <w:rPr>
          <w:rFonts w:hint="eastAsia"/>
          <w:sz w:val="30"/>
          <w:szCs w:val="30"/>
        </w:rPr>
        <w:t>审　判　员　　庄利民</w:t>
      </w:r>
    </w:p>
    <w:p w:rsidR="00134D1C" w:rsidRDefault="00134D1C">
      <w:pPr>
        <w:spacing w:line="500" w:lineRule="atLeast"/>
        <w:jc w:val="right"/>
        <w:divId w:val="807479088"/>
        <w:rPr>
          <w:rFonts w:hint="eastAsia"/>
          <w:sz w:val="30"/>
          <w:szCs w:val="30"/>
        </w:rPr>
      </w:pPr>
      <w:r>
        <w:rPr>
          <w:rFonts w:hint="eastAsia"/>
          <w:sz w:val="30"/>
          <w:szCs w:val="30"/>
        </w:rPr>
        <w:t>代理审判员　　张思进</w:t>
      </w:r>
    </w:p>
    <w:p w:rsidR="00134D1C" w:rsidRDefault="00134D1C">
      <w:pPr>
        <w:spacing w:line="500" w:lineRule="atLeast"/>
        <w:jc w:val="right"/>
        <w:divId w:val="1839926123"/>
        <w:rPr>
          <w:rFonts w:hint="eastAsia"/>
          <w:sz w:val="30"/>
          <w:szCs w:val="30"/>
        </w:rPr>
      </w:pPr>
      <w:r>
        <w:rPr>
          <w:rFonts w:hint="eastAsia"/>
          <w:sz w:val="30"/>
          <w:szCs w:val="30"/>
        </w:rPr>
        <w:t>二〇一七年五月十一日</w:t>
      </w:r>
    </w:p>
    <w:p w:rsidR="00134D1C" w:rsidRDefault="00134D1C">
      <w:pPr>
        <w:spacing w:line="500" w:lineRule="atLeast"/>
        <w:jc w:val="right"/>
        <w:divId w:val="122237587"/>
        <w:rPr>
          <w:rFonts w:hint="eastAsia"/>
          <w:sz w:val="30"/>
          <w:szCs w:val="30"/>
        </w:rPr>
      </w:pPr>
      <w:r>
        <w:rPr>
          <w:rFonts w:hint="eastAsia"/>
          <w:sz w:val="30"/>
          <w:szCs w:val="30"/>
        </w:rPr>
        <w:t>书　记　员　　罗　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4D1C" w:rsidRDefault="00134D1C" w:rsidP="00134D1C">
      <w:pPr>
        <w:rPr>
          <w:rFonts w:hint="eastAsia"/>
        </w:rPr>
      </w:pPr>
      <w:r>
        <w:separator/>
      </w:r>
    </w:p>
  </w:endnote>
  <w:endnote w:type="continuationSeparator" w:id="0">
    <w:p w:rsidR="00134D1C" w:rsidRDefault="00134D1C" w:rsidP="00134D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4D1C" w:rsidRDefault="00134D1C" w:rsidP="00134D1C">
      <w:pPr>
        <w:rPr>
          <w:rFonts w:hint="eastAsia"/>
        </w:rPr>
      </w:pPr>
      <w:r>
        <w:separator/>
      </w:r>
    </w:p>
  </w:footnote>
  <w:footnote w:type="continuationSeparator" w:id="0">
    <w:p w:rsidR="00134D1C" w:rsidRDefault="00134D1C" w:rsidP="00134D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4D1C"/>
    <w:rsid w:val="00134D1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4D1C"/>
    <w:pPr>
      <w:tabs>
        <w:tab w:val="center" w:pos="4153"/>
        <w:tab w:val="right" w:pos="8306"/>
      </w:tabs>
      <w:snapToGrid w:val="0"/>
      <w:jc w:val="center"/>
    </w:pPr>
    <w:rPr>
      <w:sz w:val="18"/>
      <w:szCs w:val="18"/>
    </w:rPr>
  </w:style>
  <w:style w:type="character" w:customStyle="1" w:styleId="a4">
    <w:name w:val="页眉 字符"/>
    <w:basedOn w:val="a0"/>
    <w:link w:val="a3"/>
    <w:uiPriority w:val="99"/>
    <w:rsid w:val="00134D1C"/>
    <w:rPr>
      <w:rFonts w:ascii="宋体" w:eastAsia="宋体" w:hAnsi="宋体" w:cs="宋体"/>
      <w:sz w:val="18"/>
      <w:szCs w:val="18"/>
    </w:rPr>
  </w:style>
  <w:style w:type="paragraph" w:styleId="a5">
    <w:name w:val="footer"/>
    <w:basedOn w:val="a"/>
    <w:link w:val="a6"/>
    <w:uiPriority w:val="99"/>
    <w:unhideWhenUsed/>
    <w:rsid w:val="00134D1C"/>
    <w:pPr>
      <w:tabs>
        <w:tab w:val="center" w:pos="4153"/>
        <w:tab w:val="right" w:pos="8306"/>
      </w:tabs>
      <w:snapToGrid w:val="0"/>
    </w:pPr>
    <w:rPr>
      <w:sz w:val="18"/>
      <w:szCs w:val="18"/>
    </w:rPr>
  </w:style>
  <w:style w:type="character" w:customStyle="1" w:styleId="a6">
    <w:name w:val="页脚 字符"/>
    <w:basedOn w:val="a0"/>
    <w:link w:val="a5"/>
    <w:uiPriority w:val="99"/>
    <w:rsid w:val="00134D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79929">
      <w:marLeft w:val="0"/>
      <w:marRight w:val="0"/>
      <w:marTop w:val="10"/>
      <w:marBottom w:val="10"/>
      <w:divBdr>
        <w:top w:val="none" w:sz="0" w:space="0" w:color="auto"/>
        <w:left w:val="none" w:sz="0" w:space="0" w:color="auto"/>
        <w:bottom w:val="none" w:sz="0" w:space="0" w:color="auto"/>
        <w:right w:val="none" w:sz="0" w:space="0" w:color="auto"/>
      </w:divBdr>
    </w:div>
    <w:div w:id="122237587">
      <w:marLeft w:val="0"/>
      <w:marRight w:val="720"/>
      <w:marTop w:val="10"/>
      <w:marBottom w:val="10"/>
      <w:divBdr>
        <w:top w:val="none" w:sz="0" w:space="0" w:color="auto"/>
        <w:left w:val="none" w:sz="0" w:space="0" w:color="auto"/>
        <w:bottom w:val="none" w:sz="0" w:space="0" w:color="auto"/>
        <w:right w:val="none" w:sz="0" w:space="0" w:color="auto"/>
      </w:divBdr>
    </w:div>
    <w:div w:id="129400732">
      <w:marLeft w:val="0"/>
      <w:marRight w:val="0"/>
      <w:marTop w:val="10"/>
      <w:marBottom w:val="10"/>
      <w:divBdr>
        <w:top w:val="none" w:sz="0" w:space="0" w:color="auto"/>
        <w:left w:val="none" w:sz="0" w:space="0" w:color="auto"/>
        <w:bottom w:val="none" w:sz="0" w:space="0" w:color="auto"/>
        <w:right w:val="none" w:sz="0" w:space="0" w:color="auto"/>
      </w:divBdr>
    </w:div>
    <w:div w:id="151334879">
      <w:marLeft w:val="0"/>
      <w:marRight w:val="0"/>
      <w:marTop w:val="10"/>
      <w:marBottom w:val="10"/>
      <w:divBdr>
        <w:top w:val="none" w:sz="0" w:space="0" w:color="auto"/>
        <w:left w:val="none" w:sz="0" w:space="0" w:color="auto"/>
        <w:bottom w:val="none" w:sz="0" w:space="0" w:color="auto"/>
        <w:right w:val="none" w:sz="0" w:space="0" w:color="auto"/>
      </w:divBdr>
    </w:div>
    <w:div w:id="201329978">
      <w:marLeft w:val="0"/>
      <w:marRight w:val="0"/>
      <w:marTop w:val="10"/>
      <w:marBottom w:val="10"/>
      <w:divBdr>
        <w:top w:val="none" w:sz="0" w:space="0" w:color="auto"/>
        <w:left w:val="none" w:sz="0" w:space="0" w:color="auto"/>
        <w:bottom w:val="none" w:sz="0" w:space="0" w:color="auto"/>
        <w:right w:val="none" w:sz="0" w:space="0" w:color="auto"/>
      </w:divBdr>
    </w:div>
    <w:div w:id="341131092">
      <w:marLeft w:val="0"/>
      <w:marRight w:val="0"/>
      <w:marTop w:val="10"/>
      <w:marBottom w:val="10"/>
      <w:divBdr>
        <w:top w:val="none" w:sz="0" w:space="0" w:color="auto"/>
        <w:left w:val="none" w:sz="0" w:space="0" w:color="auto"/>
        <w:bottom w:val="none" w:sz="0" w:space="0" w:color="auto"/>
        <w:right w:val="none" w:sz="0" w:space="0" w:color="auto"/>
      </w:divBdr>
    </w:div>
    <w:div w:id="378550383">
      <w:marLeft w:val="0"/>
      <w:marRight w:val="0"/>
      <w:marTop w:val="10"/>
      <w:marBottom w:val="10"/>
      <w:divBdr>
        <w:top w:val="none" w:sz="0" w:space="0" w:color="auto"/>
        <w:left w:val="none" w:sz="0" w:space="0" w:color="auto"/>
        <w:bottom w:val="none" w:sz="0" w:space="0" w:color="auto"/>
        <w:right w:val="none" w:sz="0" w:space="0" w:color="auto"/>
      </w:divBdr>
    </w:div>
    <w:div w:id="508644672">
      <w:marLeft w:val="0"/>
      <w:marRight w:val="0"/>
      <w:marTop w:val="10"/>
      <w:marBottom w:val="10"/>
      <w:divBdr>
        <w:top w:val="none" w:sz="0" w:space="0" w:color="auto"/>
        <w:left w:val="none" w:sz="0" w:space="0" w:color="auto"/>
        <w:bottom w:val="none" w:sz="0" w:space="0" w:color="auto"/>
        <w:right w:val="none" w:sz="0" w:space="0" w:color="auto"/>
      </w:divBdr>
    </w:div>
    <w:div w:id="554581466">
      <w:marLeft w:val="0"/>
      <w:marRight w:val="720"/>
      <w:marTop w:val="10"/>
      <w:marBottom w:val="10"/>
      <w:divBdr>
        <w:top w:val="none" w:sz="0" w:space="0" w:color="auto"/>
        <w:left w:val="none" w:sz="0" w:space="0" w:color="auto"/>
        <w:bottom w:val="none" w:sz="0" w:space="0" w:color="auto"/>
        <w:right w:val="none" w:sz="0" w:space="0" w:color="auto"/>
      </w:divBdr>
    </w:div>
    <w:div w:id="807479088">
      <w:marLeft w:val="0"/>
      <w:marRight w:val="720"/>
      <w:marTop w:val="10"/>
      <w:marBottom w:val="10"/>
      <w:divBdr>
        <w:top w:val="none" w:sz="0" w:space="0" w:color="auto"/>
        <w:left w:val="none" w:sz="0" w:space="0" w:color="auto"/>
        <w:bottom w:val="none" w:sz="0" w:space="0" w:color="auto"/>
        <w:right w:val="none" w:sz="0" w:space="0" w:color="auto"/>
      </w:divBdr>
    </w:div>
    <w:div w:id="816382672">
      <w:marLeft w:val="0"/>
      <w:marRight w:val="0"/>
      <w:marTop w:val="10"/>
      <w:marBottom w:val="10"/>
      <w:divBdr>
        <w:top w:val="none" w:sz="0" w:space="0" w:color="auto"/>
        <w:left w:val="none" w:sz="0" w:space="0" w:color="auto"/>
        <w:bottom w:val="none" w:sz="0" w:space="0" w:color="auto"/>
        <w:right w:val="none" w:sz="0" w:space="0" w:color="auto"/>
      </w:divBdr>
    </w:div>
    <w:div w:id="930354143">
      <w:marLeft w:val="0"/>
      <w:marRight w:val="0"/>
      <w:marTop w:val="10"/>
      <w:marBottom w:val="10"/>
      <w:divBdr>
        <w:top w:val="none" w:sz="0" w:space="0" w:color="auto"/>
        <w:left w:val="none" w:sz="0" w:space="0" w:color="auto"/>
        <w:bottom w:val="none" w:sz="0" w:space="0" w:color="auto"/>
        <w:right w:val="none" w:sz="0" w:space="0" w:color="auto"/>
      </w:divBdr>
    </w:div>
    <w:div w:id="1031488814">
      <w:marLeft w:val="0"/>
      <w:marRight w:val="0"/>
      <w:marTop w:val="10"/>
      <w:marBottom w:val="10"/>
      <w:divBdr>
        <w:top w:val="none" w:sz="0" w:space="0" w:color="auto"/>
        <w:left w:val="none" w:sz="0" w:space="0" w:color="auto"/>
        <w:bottom w:val="none" w:sz="0" w:space="0" w:color="auto"/>
        <w:right w:val="none" w:sz="0" w:space="0" w:color="auto"/>
      </w:divBdr>
    </w:div>
    <w:div w:id="1242061174">
      <w:marLeft w:val="0"/>
      <w:marRight w:val="0"/>
      <w:marTop w:val="10"/>
      <w:marBottom w:val="10"/>
      <w:divBdr>
        <w:top w:val="none" w:sz="0" w:space="0" w:color="auto"/>
        <w:left w:val="none" w:sz="0" w:space="0" w:color="auto"/>
        <w:bottom w:val="none" w:sz="0" w:space="0" w:color="auto"/>
        <w:right w:val="none" w:sz="0" w:space="0" w:color="auto"/>
      </w:divBdr>
    </w:div>
    <w:div w:id="1325671274">
      <w:marLeft w:val="0"/>
      <w:marRight w:val="0"/>
      <w:marTop w:val="10"/>
      <w:marBottom w:val="10"/>
      <w:divBdr>
        <w:top w:val="none" w:sz="0" w:space="0" w:color="auto"/>
        <w:left w:val="none" w:sz="0" w:space="0" w:color="auto"/>
        <w:bottom w:val="none" w:sz="0" w:space="0" w:color="auto"/>
        <w:right w:val="none" w:sz="0" w:space="0" w:color="auto"/>
      </w:divBdr>
    </w:div>
    <w:div w:id="1357190462">
      <w:marLeft w:val="0"/>
      <w:marRight w:val="0"/>
      <w:marTop w:val="10"/>
      <w:marBottom w:val="10"/>
      <w:divBdr>
        <w:top w:val="none" w:sz="0" w:space="0" w:color="auto"/>
        <w:left w:val="none" w:sz="0" w:space="0" w:color="auto"/>
        <w:bottom w:val="none" w:sz="0" w:space="0" w:color="auto"/>
        <w:right w:val="none" w:sz="0" w:space="0" w:color="auto"/>
      </w:divBdr>
    </w:div>
    <w:div w:id="1525443001">
      <w:marLeft w:val="0"/>
      <w:marRight w:val="0"/>
      <w:marTop w:val="10"/>
      <w:marBottom w:val="10"/>
      <w:divBdr>
        <w:top w:val="none" w:sz="0" w:space="0" w:color="auto"/>
        <w:left w:val="none" w:sz="0" w:space="0" w:color="auto"/>
        <w:bottom w:val="none" w:sz="0" w:space="0" w:color="auto"/>
        <w:right w:val="none" w:sz="0" w:space="0" w:color="auto"/>
      </w:divBdr>
    </w:div>
    <w:div w:id="1715346836">
      <w:marLeft w:val="0"/>
      <w:marRight w:val="0"/>
      <w:marTop w:val="10"/>
      <w:marBottom w:val="10"/>
      <w:divBdr>
        <w:top w:val="none" w:sz="0" w:space="0" w:color="auto"/>
        <w:left w:val="none" w:sz="0" w:space="0" w:color="auto"/>
        <w:bottom w:val="none" w:sz="0" w:space="0" w:color="auto"/>
        <w:right w:val="none" w:sz="0" w:space="0" w:color="auto"/>
      </w:divBdr>
    </w:div>
    <w:div w:id="1807626902">
      <w:marLeft w:val="0"/>
      <w:marRight w:val="720"/>
      <w:marTop w:val="10"/>
      <w:marBottom w:val="10"/>
      <w:divBdr>
        <w:top w:val="none" w:sz="0" w:space="0" w:color="auto"/>
        <w:left w:val="none" w:sz="0" w:space="0" w:color="auto"/>
        <w:bottom w:val="none" w:sz="0" w:space="0" w:color="auto"/>
        <w:right w:val="none" w:sz="0" w:space="0" w:color="auto"/>
      </w:divBdr>
    </w:div>
    <w:div w:id="1839926123">
      <w:marLeft w:val="0"/>
      <w:marRight w:val="720"/>
      <w:marTop w:val="10"/>
      <w:marBottom w:val="10"/>
      <w:divBdr>
        <w:top w:val="none" w:sz="0" w:space="0" w:color="auto"/>
        <w:left w:val="none" w:sz="0" w:space="0" w:color="auto"/>
        <w:bottom w:val="none" w:sz="0" w:space="0" w:color="auto"/>
        <w:right w:val="none" w:sz="0" w:space="0" w:color="auto"/>
      </w:divBdr>
    </w:div>
    <w:div w:id="1982923987">
      <w:marLeft w:val="0"/>
      <w:marRight w:val="0"/>
      <w:marTop w:val="10"/>
      <w:marBottom w:val="10"/>
      <w:divBdr>
        <w:top w:val="none" w:sz="0" w:space="0" w:color="auto"/>
        <w:left w:val="none" w:sz="0" w:space="0" w:color="auto"/>
        <w:bottom w:val="none" w:sz="0" w:space="0" w:color="auto"/>
        <w:right w:val="none" w:sz="0" w:space="0" w:color="auto"/>
      </w:divBdr>
    </w:div>
    <w:div w:id="2064793180">
      <w:marLeft w:val="0"/>
      <w:marRight w:val="0"/>
      <w:marTop w:val="10"/>
      <w:marBottom w:val="10"/>
      <w:divBdr>
        <w:top w:val="none" w:sz="0" w:space="0" w:color="auto"/>
        <w:left w:val="none" w:sz="0" w:space="0" w:color="auto"/>
        <w:bottom w:val="none" w:sz="0" w:space="0" w:color="auto"/>
        <w:right w:val="none" w:sz="0" w:space="0" w:color="auto"/>
      </w:divBdr>
    </w:div>
    <w:div w:id="20901509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