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CFA" w:rsidRDefault="008C1CFA">
      <w:pPr>
        <w:spacing w:line="500" w:lineRule="atLeast"/>
        <w:jc w:val="center"/>
        <w:divId w:val="611476718"/>
        <w:rPr>
          <w:rFonts w:ascii="黑体" w:eastAsia="黑体" w:hAnsi="黑体"/>
          <w:sz w:val="36"/>
          <w:szCs w:val="36"/>
        </w:rPr>
      </w:pPr>
      <w:r>
        <w:rPr>
          <w:rFonts w:ascii="黑体" w:eastAsia="黑体" w:hAnsi="黑体" w:hint="eastAsia"/>
          <w:sz w:val="36"/>
          <w:szCs w:val="36"/>
        </w:rPr>
        <w:t>广东省佛山市南海区人民法院</w:t>
      </w:r>
    </w:p>
    <w:p w:rsidR="008C1CFA" w:rsidRDefault="008C1CFA">
      <w:pPr>
        <w:spacing w:line="500" w:lineRule="atLeast"/>
        <w:jc w:val="center"/>
        <w:divId w:val="7412940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C1CFA" w:rsidRDefault="008C1CFA">
      <w:pPr>
        <w:spacing w:line="500" w:lineRule="atLeast"/>
        <w:jc w:val="right"/>
        <w:divId w:val="1154377884"/>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137</w:t>
      </w:r>
      <w:r>
        <w:rPr>
          <w:rFonts w:hint="eastAsia"/>
          <w:sz w:val="30"/>
          <w:szCs w:val="30"/>
        </w:rPr>
        <w:t>号</w:t>
      </w:r>
    </w:p>
    <w:p w:rsidR="008C1CFA" w:rsidRDefault="008C1CFA">
      <w:pPr>
        <w:spacing w:line="500" w:lineRule="atLeast"/>
        <w:ind w:firstLine="600"/>
        <w:divId w:val="1374191519"/>
        <w:rPr>
          <w:rFonts w:hint="eastAsia"/>
          <w:sz w:val="30"/>
          <w:szCs w:val="30"/>
        </w:rPr>
      </w:pPr>
      <w:r>
        <w:rPr>
          <w:rFonts w:hint="eastAsia"/>
          <w:sz w:val="30"/>
          <w:szCs w:val="30"/>
        </w:rPr>
        <w:t>公诉机关佛山市南海区人民检察院。</w:t>
      </w:r>
    </w:p>
    <w:p w:rsidR="008C1CFA" w:rsidRDefault="008C1CFA">
      <w:pPr>
        <w:spacing w:line="500" w:lineRule="atLeast"/>
        <w:ind w:firstLine="600"/>
        <w:divId w:val="357590200"/>
        <w:rPr>
          <w:rFonts w:hint="eastAsia"/>
          <w:sz w:val="30"/>
          <w:szCs w:val="30"/>
        </w:rPr>
      </w:pPr>
      <w:r>
        <w:rPr>
          <w:rFonts w:hint="eastAsia"/>
          <w:sz w:val="30"/>
          <w:szCs w:val="30"/>
        </w:rPr>
        <w:t>被告人蒋琪，男，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日出生于江西省南昌市，汉族，博士研究生文化，中共党员，原佛山市南海区卫生职业技术学校党总支书记，住南海区，因本案于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日被取保候审。</w:t>
      </w:r>
    </w:p>
    <w:p w:rsidR="008C1CFA" w:rsidRDefault="008C1CFA">
      <w:pPr>
        <w:spacing w:line="500" w:lineRule="atLeast"/>
        <w:ind w:firstLine="600"/>
        <w:divId w:val="536815316"/>
        <w:rPr>
          <w:rFonts w:hint="eastAsia"/>
          <w:sz w:val="30"/>
          <w:szCs w:val="30"/>
        </w:rPr>
      </w:pPr>
      <w:r>
        <w:rPr>
          <w:rFonts w:hint="eastAsia"/>
          <w:sz w:val="30"/>
          <w:szCs w:val="30"/>
        </w:rPr>
        <w:t>辩护人盛刚，广东中天鼎盛律师事务所律师。</w:t>
      </w:r>
    </w:p>
    <w:p w:rsidR="008C1CFA" w:rsidRDefault="008C1CFA">
      <w:pPr>
        <w:spacing w:line="500" w:lineRule="atLeast"/>
        <w:ind w:firstLine="600"/>
        <w:divId w:val="387918239"/>
        <w:rPr>
          <w:rFonts w:hint="eastAsia"/>
          <w:sz w:val="30"/>
          <w:szCs w:val="30"/>
        </w:rPr>
      </w:pPr>
      <w:r>
        <w:rPr>
          <w:rFonts w:hint="eastAsia"/>
          <w:sz w:val="30"/>
          <w:szCs w:val="30"/>
        </w:rPr>
        <w:t>佛山市南海区人民检察院以佛南检公诉刑诉</w:t>
      </w:r>
      <w:r>
        <w:rPr>
          <w:rFonts w:hint="eastAsia"/>
          <w:sz w:val="30"/>
          <w:szCs w:val="30"/>
        </w:rPr>
        <w:t>[2017]101</w:t>
      </w:r>
      <w:r>
        <w:rPr>
          <w:rFonts w:hint="eastAsia"/>
          <w:sz w:val="30"/>
          <w:szCs w:val="30"/>
        </w:rPr>
        <w:t>号起诉书指控被告人蒋琪犯受贿罪，于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适用普通程序，组成合议庭，公开开庭审理了本案。南海区人民检察院指派检察员谭志伟出庭支持公诉，蒋琪及其辩护人盛刚均到庭参加诉讼。本案因公诉机关补充侦查而延期审理，现已审理终结。</w:t>
      </w:r>
    </w:p>
    <w:p w:rsidR="008C1CFA" w:rsidRDefault="008C1CFA">
      <w:pPr>
        <w:spacing w:line="500" w:lineRule="atLeast"/>
        <w:ind w:firstLine="600"/>
        <w:divId w:val="981740508"/>
        <w:rPr>
          <w:rFonts w:hint="eastAsia"/>
          <w:sz w:val="30"/>
          <w:szCs w:val="30"/>
        </w:rPr>
      </w:pPr>
      <w:r>
        <w:rPr>
          <w:rFonts w:hint="eastAsia"/>
          <w:sz w:val="30"/>
          <w:szCs w:val="30"/>
        </w:rPr>
        <w:t>公诉机关指控，从</w:t>
      </w:r>
      <w:r>
        <w:rPr>
          <w:rFonts w:hint="eastAsia"/>
          <w:sz w:val="30"/>
          <w:szCs w:val="30"/>
        </w:rPr>
        <w:t>2007</w:t>
      </w:r>
      <w:r>
        <w:rPr>
          <w:rFonts w:hint="eastAsia"/>
          <w:sz w:val="30"/>
          <w:szCs w:val="30"/>
        </w:rPr>
        <w:t>年起，黄金春（另作处理）开始经营管理佛山市南海区卫生职业技术学校（以下简称南海卫校）下属第四门诊部。期间，南海卫校打算撤销门诊部，为了继续获得经营权，黄金春找到陈某（另作处理）帮忙沟通与时任南海卫校校长的被告人蒋琪的关系。经沟通，陈某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日用其名义开设农业银行账户（账号为</w:t>
      </w:r>
      <w:r>
        <w:rPr>
          <w:rFonts w:hint="eastAsia"/>
          <w:sz w:val="30"/>
          <w:szCs w:val="30"/>
        </w:rPr>
        <w:t>62</w:t>
      </w:r>
      <w:r>
        <w:rPr>
          <w:rFonts w:hint="eastAsia"/>
          <w:sz w:val="30"/>
          <w:szCs w:val="30"/>
        </w:rPr>
        <w:t>×××</w:t>
      </w:r>
      <w:r>
        <w:rPr>
          <w:rFonts w:hint="eastAsia"/>
          <w:sz w:val="30"/>
          <w:szCs w:val="30"/>
        </w:rPr>
        <w:t>76</w:t>
      </w:r>
      <w:r>
        <w:rPr>
          <w:rFonts w:hint="eastAsia"/>
          <w:sz w:val="30"/>
          <w:szCs w:val="30"/>
        </w:rPr>
        <w:t>）绑定广发证券账户后将证券账户密码告知蒋琪，黄金春随即存入该账户</w:t>
      </w:r>
      <w:r>
        <w:rPr>
          <w:rFonts w:hint="eastAsia"/>
          <w:sz w:val="30"/>
          <w:szCs w:val="30"/>
        </w:rPr>
        <w:t>6</w:t>
      </w:r>
      <w:r>
        <w:rPr>
          <w:rFonts w:hint="eastAsia"/>
          <w:sz w:val="30"/>
          <w:szCs w:val="30"/>
        </w:rPr>
        <w:t>万元，并按照每月</w:t>
      </w:r>
      <w:r>
        <w:rPr>
          <w:rFonts w:hint="eastAsia"/>
          <w:sz w:val="30"/>
          <w:szCs w:val="30"/>
        </w:rPr>
        <w:t>1</w:t>
      </w:r>
      <w:r>
        <w:rPr>
          <w:rFonts w:hint="eastAsia"/>
          <w:sz w:val="30"/>
          <w:szCs w:val="30"/>
        </w:rPr>
        <w:t>万元的标准不定期存入，由蒋琪负责账户内股票买卖的操作。</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日，蒋琪为支付女儿的购房款，吩咐陈某从该银行账户中转账支付了</w:t>
      </w:r>
      <w:r>
        <w:rPr>
          <w:rFonts w:hint="eastAsia"/>
          <w:sz w:val="30"/>
          <w:szCs w:val="30"/>
        </w:rPr>
        <w:t>28</w:t>
      </w:r>
      <w:r>
        <w:rPr>
          <w:rFonts w:hint="eastAsia"/>
          <w:sz w:val="30"/>
          <w:szCs w:val="30"/>
        </w:rPr>
        <w:t>万元给原房屋所有人。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日，蒋琪联系黄金春的小舅子卓某</w:t>
      </w:r>
      <w:r>
        <w:rPr>
          <w:rFonts w:hint="eastAsia"/>
          <w:sz w:val="30"/>
          <w:szCs w:val="30"/>
        </w:rPr>
        <w:lastRenderedPageBreak/>
        <w:t>后，由卓某、陈某将银行账户中的</w:t>
      </w:r>
      <w:r>
        <w:rPr>
          <w:rFonts w:hint="eastAsia"/>
          <w:sz w:val="30"/>
          <w:szCs w:val="30"/>
        </w:rPr>
        <w:t>63</w:t>
      </w:r>
      <w:r>
        <w:rPr>
          <w:rFonts w:hint="eastAsia"/>
          <w:sz w:val="30"/>
          <w:szCs w:val="30"/>
        </w:rPr>
        <w:t>万元转至卓某名下银行卡。</w:t>
      </w:r>
    </w:p>
    <w:p w:rsidR="008C1CFA" w:rsidRDefault="008C1CFA">
      <w:pPr>
        <w:spacing w:line="500" w:lineRule="atLeast"/>
        <w:ind w:firstLine="600"/>
        <w:divId w:val="1041437570"/>
        <w:rPr>
          <w:rFonts w:hint="eastAsia"/>
          <w:sz w:val="30"/>
          <w:szCs w:val="30"/>
        </w:rPr>
      </w:pPr>
      <w:r>
        <w:rPr>
          <w:rFonts w:hint="eastAsia"/>
          <w:sz w:val="30"/>
          <w:szCs w:val="30"/>
        </w:rPr>
        <w:t>就上述指控，公诉机关向法庭出示了相关证据予以证实，并认为被告人蒋琪的行为已触犯了《中华人民共和国刑法》第三百八十五条、第三百八十三条第一款第（二）项之规定，应当以受贿罪追究其刑事责任；蒋琪如实供述自己的罪行，应当依照《中华人民共和国刑法》第六十七条第三款之规定处罚。</w:t>
      </w:r>
    </w:p>
    <w:p w:rsidR="008C1CFA" w:rsidRDefault="008C1CFA">
      <w:pPr>
        <w:spacing w:line="500" w:lineRule="atLeast"/>
        <w:ind w:firstLine="600"/>
        <w:divId w:val="1911691395"/>
        <w:rPr>
          <w:rFonts w:hint="eastAsia"/>
          <w:sz w:val="30"/>
          <w:szCs w:val="30"/>
        </w:rPr>
      </w:pPr>
      <w:r>
        <w:rPr>
          <w:rFonts w:hint="eastAsia"/>
          <w:sz w:val="30"/>
          <w:szCs w:val="30"/>
        </w:rPr>
        <w:t>被告人蒋琪对公诉机关指控的事实无异议，但称</w:t>
      </w:r>
      <w:r>
        <w:rPr>
          <w:rFonts w:hint="eastAsia"/>
          <w:sz w:val="30"/>
          <w:szCs w:val="30"/>
        </w:rPr>
        <w:t>28</w:t>
      </w:r>
      <w:r>
        <w:rPr>
          <w:rFonts w:hint="eastAsia"/>
          <w:sz w:val="30"/>
          <w:szCs w:val="30"/>
        </w:rPr>
        <w:t>万元当时是借的，其不清楚其行为是否构成受贿罪。</w:t>
      </w:r>
    </w:p>
    <w:p w:rsidR="008C1CFA" w:rsidRDefault="008C1CFA">
      <w:pPr>
        <w:spacing w:line="500" w:lineRule="atLeast"/>
        <w:ind w:firstLine="600"/>
        <w:divId w:val="1857838857"/>
        <w:rPr>
          <w:rFonts w:hint="eastAsia"/>
          <w:sz w:val="30"/>
          <w:szCs w:val="30"/>
        </w:rPr>
      </w:pPr>
      <w:r>
        <w:rPr>
          <w:rFonts w:hint="eastAsia"/>
          <w:sz w:val="30"/>
          <w:szCs w:val="30"/>
        </w:rPr>
        <w:t>辩护人辩称，被告人蒋琪主观上没有受贿的故意，客观上没有受贿的行为，其行为不构成受贿罪。</w:t>
      </w:r>
    </w:p>
    <w:p w:rsidR="008C1CFA" w:rsidRDefault="008C1CFA">
      <w:pPr>
        <w:spacing w:line="500" w:lineRule="atLeast"/>
        <w:ind w:firstLine="600"/>
        <w:divId w:val="209659782"/>
        <w:rPr>
          <w:rFonts w:hint="eastAsia"/>
          <w:sz w:val="30"/>
          <w:szCs w:val="30"/>
        </w:rPr>
      </w:pPr>
      <w:r>
        <w:rPr>
          <w:rFonts w:hint="eastAsia"/>
          <w:sz w:val="30"/>
          <w:szCs w:val="30"/>
        </w:rPr>
        <w:t>经审理查明，公诉机关指控被告人蒋琪受贿的事实清楚，证据确实、充分，本院予以确认。</w:t>
      </w:r>
    </w:p>
    <w:p w:rsidR="008C1CFA" w:rsidRDefault="008C1CFA">
      <w:pPr>
        <w:spacing w:line="500" w:lineRule="atLeast"/>
        <w:ind w:firstLine="600"/>
        <w:divId w:val="1314673677"/>
        <w:rPr>
          <w:rFonts w:hint="eastAsia"/>
          <w:sz w:val="30"/>
          <w:szCs w:val="30"/>
        </w:rPr>
      </w:pPr>
      <w:r>
        <w:rPr>
          <w:rFonts w:hint="eastAsia"/>
          <w:sz w:val="30"/>
          <w:szCs w:val="30"/>
        </w:rPr>
        <w:t>另查明，</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日，佛山市南海区人民检察院电话通知被告人蒋琪到该院接受调查，蒋琪到案后供述了受贿的犯罪事实。</w:t>
      </w:r>
      <w:r>
        <w:rPr>
          <w:rFonts w:hint="eastAsia"/>
          <w:sz w:val="30"/>
          <w:szCs w:val="30"/>
        </w:rPr>
        <w:t>2</w:t>
      </w:r>
      <w:r>
        <w:rPr>
          <w:rFonts w:hint="eastAsia"/>
          <w:sz w:val="30"/>
          <w:szCs w:val="30"/>
        </w:rPr>
        <w:t>、案发后，蒋琪退出了违法所得</w:t>
      </w:r>
      <w:r>
        <w:rPr>
          <w:rFonts w:hint="eastAsia"/>
          <w:sz w:val="30"/>
          <w:szCs w:val="30"/>
        </w:rPr>
        <w:t>28</w:t>
      </w:r>
      <w:r>
        <w:rPr>
          <w:rFonts w:hint="eastAsia"/>
          <w:sz w:val="30"/>
          <w:szCs w:val="30"/>
        </w:rPr>
        <w:t>万元，现暂存于南海区人民检察院。</w:t>
      </w:r>
    </w:p>
    <w:p w:rsidR="008C1CFA" w:rsidRDefault="008C1CFA">
      <w:pPr>
        <w:spacing w:line="500" w:lineRule="atLeast"/>
        <w:ind w:firstLine="600"/>
        <w:divId w:val="259070681"/>
        <w:rPr>
          <w:rFonts w:hint="eastAsia"/>
          <w:sz w:val="30"/>
          <w:szCs w:val="30"/>
        </w:rPr>
      </w:pPr>
      <w:r>
        <w:rPr>
          <w:rFonts w:hint="eastAsia"/>
          <w:sz w:val="30"/>
          <w:szCs w:val="30"/>
        </w:rPr>
        <w:t>关于涉案款项的认定问题。经查，首先，对于黄金春存入陈某的农业银行账户内款项的认定问题。根据黄金春的证言，其为了继续经营第四门诊部，通过陈某与被告人蒋琪搞好关系，之后按照陈某的提议将钱不定期存入陈某的农业银行账户，由陈某交给蒋琪，其并不确定蒋琪有无收到相关款项，而根据蒋琪在侦查阶段的供述，其在拒绝陈某送钱的要求后提出以陈某的名义开设股票账户，由其负责买卖操作，如果股票账户赚钱了就当作是学校的经费，由于陈某未能到案说明情况，因此认定蒋琪主观上具有收受该农业银行账户内款项的故意的证据略显单薄，而且即使能够认定，由于陈某只是将与该农业银行账户绑定的广发证券账户交由蒋琪操作，而并未将该农业银行账户交由蒋琪控制，故对于黄金春存入陈某农业银行账户的行贿款实际控制人仍然是陈某，而非蒋琪，故蒋琪的行为也应认定为犯罪未遂。其次，对于蒋琪吩咐陈某从该农业银行账户转账</w:t>
      </w:r>
      <w:r>
        <w:rPr>
          <w:rFonts w:hint="eastAsia"/>
          <w:sz w:val="30"/>
          <w:szCs w:val="30"/>
        </w:rPr>
        <w:t>28</w:t>
      </w:r>
      <w:r>
        <w:rPr>
          <w:rFonts w:hint="eastAsia"/>
          <w:sz w:val="30"/>
          <w:szCs w:val="30"/>
        </w:rPr>
        <w:t>万元用于支付购房款的认定问题。虽然蒋琪称当时跟陈某提出是从股票账户借款</w:t>
      </w:r>
      <w:r>
        <w:rPr>
          <w:rFonts w:hint="eastAsia"/>
          <w:sz w:val="30"/>
          <w:szCs w:val="30"/>
        </w:rPr>
        <w:t>28</w:t>
      </w:r>
      <w:r>
        <w:rPr>
          <w:rFonts w:hint="eastAsia"/>
          <w:sz w:val="30"/>
          <w:szCs w:val="30"/>
        </w:rPr>
        <w:t>万元，但其在直到被接受调查长达五年多的时间内，在有足够归还能力的情况下，并无归还的行为，而作为行贿人黄金春而言，相关款项其本来就是为了继续经营第四门诊部而拿来送给蒋琪的，因此，该笔款项虽然名为借款，但应当认定为受贿款项，辩护人的相关辩护意见理据不足，不予采纳。</w:t>
      </w:r>
    </w:p>
    <w:p w:rsidR="008C1CFA" w:rsidRDefault="008C1CFA">
      <w:pPr>
        <w:spacing w:line="500" w:lineRule="atLeast"/>
        <w:ind w:firstLine="600"/>
        <w:divId w:val="102962108"/>
        <w:rPr>
          <w:rFonts w:hint="eastAsia"/>
          <w:sz w:val="30"/>
          <w:szCs w:val="30"/>
        </w:rPr>
      </w:pPr>
      <w:r>
        <w:rPr>
          <w:rFonts w:hint="eastAsia"/>
          <w:sz w:val="30"/>
          <w:szCs w:val="30"/>
        </w:rPr>
        <w:t>本院认为，被告人蒋琪身为国家工作人员，利用职务上的便利，非法收受他人财物，为他人谋取利益，数额巨大，其行为已构成受贿罪。公诉机关所控罪名成立。蒋琪犯罪后自动投案，如实供述了自己的罪行，是自首，且案发后退出了全部违法所得，依法对其减轻处罚并适用缓刑。依照《中华人民共和国刑法》第十二条、第三百八十五条第一款、第三百八十六条、第三百八十三条第一款第（二）项、第六十七条第一款、第七十二条第一、三款、第七十三条第二、三款、第五十二条、第五十三条、第六十四条之规定，判决如下：</w:t>
      </w:r>
    </w:p>
    <w:p w:rsidR="008C1CFA" w:rsidRDefault="008C1CFA">
      <w:pPr>
        <w:spacing w:line="500" w:lineRule="atLeast"/>
        <w:ind w:firstLine="600"/>
        <w:divId w:val="708261583"/>
        <w:rPr>
          <w:rFonts w:hint="eastAsia"/>
          <w:sz w:val="30"/>
          <w:szCs w:val="30"/>
        </w:rPr>
      </w:pPr>
      <w:r>
        <w:rPr>
          <w:rFonts w:hint="eastAsia"/>
          <w:sz w:val="30"/>
          <w:szCs w:val="30"/>
        </w:rPr>
        <w:t>一、被告人蒋琪犯受贿罪，判处有期徒刑二年六个月，缓刑三年六个月，并处罚金人民币二十万元（缓刑考验期限，从判决确定之日起计算。罚金从本判决发生法律效力之日起</w:t>
      </w:r>
      <w:r>
        <w:rPr>
          <w:rFonts w:hint="eastAsia"/>
          <w:sz w:val="30"/>
          <w:szCs w:val="30"/>
        </w:rPr>
        <w:t>30</w:t>
      </w:r>
      <w:r>
        <w:rPr>
          <w:rFonts w:hint="eastAsia"/>
          <w:sz w:val="30"/>
          <w:szCs w:val="30"/>
        </w:rPr>
        <w:t>日内缴纳）。</w:t>
      </w:r>
    </w:p>
    <w:p w:rsidR="008C1CFA" w:rsidRDefault="008C1CFA">
      <w:pPr>
        <w:spacing w:line="500" w:lineRule="atLeast"/>
        <w:ind w:firstLine="600"/>
        <w:divId w:val="1022558473"/>
        <w:rPr>
          <w:rFonts w:hint="eastAsia"/>
          <w:sz w:val="30"/>
          <w:szCs w:val="30"/>
        </w:rPr>
      </w:pPr>
      <w:r>
        <w:rPr>
          <w:rFonts w:hint="eastAsia"/>
          <w:sz w:val="30"/>
          <w:szCs w:val="30"/>
        </w:rPr>
        <w:t>二、被告人蒋琪退出的违法所得</w:t>
      </w:r>
      <w:r>
        <w:rPr>
          <w:rFonts w:hint="eastAsia"/>
          <w:sz w:val="30"/>
          <w:szCs w:val="30"/>
        </w:rPr>
        <w:t>28</w:t>
      </w:r>
      <w:r>
        <w:rPr>
          <w:rFonts w:hint="eastAsia"/>
          <w:sz w:val="30"/>
          <w:szCs w:val="30"/>
        </w:rPr>
        <w:t>万元，予以没收，由暂扣单位上缴国库。</w:t>
      </w:r>
    </w:p>
    <w:p w:rsidR="008C1CFA" w:rsidRDefault="008C1CFA">
      <w:pPr>
        <w:spacing w:line="500" w:lineRule="atLeast"/>
        <w:ind w:firstLine="600"/>
        <w:divId w:val="102513275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8C1CFA" w:rsidRDefault="008C1CFA">
      <w:pPr>
        <w:spacing w:line="500" w:lineRule="atLeast"/>
        <w:jc w:val="right"/>
        <w:divId w:val="1610308839"/>
        <w:rPr>
          <w:rFonts w:hint="eastAsia"/>
          <w:sz w:val="30"/>
          <w:szCs w:val="30"/>
        </w:rPr>
      </w:pPr>
      <w:r>
        <w:rPr>
          <w:rFonts w:hint="eastAsia"/>
          <w:sz w:val="30"/>
          <w:szCs w:val="30"/>
        </w:rPr>
        <w:t>审　判　长　　黄丛西</w:t>
      </w:r>
    </w:p>
    <w:p w:rsidR="008C1CFA" w:rsidRDefault="008C1CFA">
      <w:pPr>
        <w:spacing w:line="500" w:lineRule="atLeast"/>
        <w:jc w:val="right"/>
        <w:divId w:val="547500057"/>
        <w:rPr>
          <w:rFonts w:hint="eastAsia"/>
          <w:sz w:val="30"/>
          <w:szCs w:val="30"/>
        </w:rPr>
      </w:pPr>
      <w:r>
        <w:rPr>
          <w:rFonts w:hint="eastAsia"/>
          <w:sz w:val="30"/>
          <w:szCs w:val="30"/>
        </w:rPr>
        <w:t>人民陪审员　　李渭雄</w:t>
      </w:r>
    </w:p>
    <w:p w:rsidR="008C1CFA" w:rsidRDefault="008C1CFA">
      <w:pPr>
        <w:spacing w:line="500" w:lineRule="atLeast"/>
        <w:jc w:val="right"/>
        <w:divId w:val="1092046053"/>
        <w:rPr>
          <w:rFonts w:hint="eastAsia"/>
          <w:sz w:val="30"/>
          <w:szCs w:val="30"/>
        </w:rPr>
      </w:pPr>
      <w:r>
        <w:rPr>
          <w:rFonts w:hint="eastAsia"/>
          <w:sz w:val="30"/>
          <w:szCs w:val="30"/>
        </w:rPr>
        <w:t>人民陪审员　　李龙飞</w:t>
      </w:r>
    </w:p>
    <w:p w:rsidR="008C1CFA" w:rsidRDefault="008C1CFA">
      <w:pPr>
        <w:spacing w:line="500" w:lineRule="atLeast"/>
        <w:jc w:val="right"/>
        <w:divId w:val="51657768"/>
        <w:rPr>
          <w:rFonts w:hint="eastAsia"/>
          <w:sz w:val="30"/>
          <w:szCs w:val="30"/>
        </w:rPr>
      </w:pPr>
      <w:r>
        <w:rPr>
          <w:rFonts w:hint="eastAsia"/>
          <w:sz w:val="30"/>
          <w:szCs w:val="30"/>
        </w:rPr>
        <w:t>二〇一七年七月二十六日</w:t>
      </w:r>
    </w:p>
    <w:p w:rsidR="008C1CFA" w:rsidRDefault="008C1CFA">
      <w:pPr>
        <w:spacing w:line="500" w:lineRule="atLeast"/>
        <w:jc w:val="right"/>
        <w:divId w:val="1553616877"/>
        <w:rPr>
          <w:rFonts w:hint="eastAsia"/>
          <w:sz w:val="30"/>
          <w:szCs w:val="30"/>
        </w:rPr>
      </w:pPr>
      <w:r>
        <w:rPr>
          <w:rFonts w:hint="eastAsia"/>
          <w:sz w:val="30"/>
          <w:szCs w:val="30"/>
        </w:rPr>
        <w:t>书　记　员　　梁俊琪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1CFA" w:rsidRDefault="008C1CFA" w:rsidP="008C1CFA">
      <w:pPr>
        <w:rPr>
          <w:rFonts w:hint="eastAsia"/>
        </w:rPr>
      </w:pPr>
      <w:r>
        <w:separator/>
      </w:r>
    </w:p>
  </w:endnote>
  <w:endnote w:type="continuationSeparator" w:id="0">
    <w:p w:rsidR="008C1CFA" w:rsidRDefault="008C1CFA" w:rsidP="008C1C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1CFA" w:rsidRDefault="008C1CFA" w:rsidP="008C1CFA">
      <w:pPr>
        <w:rPr>
          <w:rFonts w:hint="eastAsia"/>
        </w:rPr>
      </w:pPr>
      <w:r>
        <w:separator/>
      </w:r>
    </w:p>
  </w:footnote>
  <w:footnote w:type="continuationSeparator" w:id="0">
    <w:p w:rsidR="008C1CFA" w:rsidRDefault="008C1CFA" w:rsidP="008C1C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1CFA"/>
    <w:rsid w:val="007235DD"/>
    <w:rsid w:val="008C1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1CFA"/>
    <w:pPr>
      <w:tabs>
        <w:tab w:val="center" w:pos="4153"/>
        <w:tab w:val="right" w:pos="8306"/>
      </w:tabs>
      <w:snapToGrid w:val="0"/>
      <w:jc w:val="center"/>
    </w:pPr>
    <w:rPr>
      <w:sz w:val="18"/>
      <w:szCs w:val="18"/>
    </w:rPr>
  </w:style>
  <w:style w:type="character" w:customStyle="1" w:styleId="a4">
    <w:name w:val="页眉 字符"/>
    <w:basedOn w:val="a0"/>
    <w:link w:val="a3"/>
    <w:uiPriority w:val="99"/>
    <w:rsid w:val="008C1CFA"/>
    <w:rPr>
      <w:rFonts w:ascii="宋体" w:eastAsia="宋体" w:hAnsi="宋体" w:cs="宋体"/>
      <w:sz w:val="18"/>
      <w:szCs w:val="18"/>
    </w:rPr>
  </w:style>
  <w:style w:type="paragraph" w:styleId="a5">
    <w:name w:val="footer"/>
    <w:basedOn w:val="a"/>
    <w:link w:val="a6"/>
    <w:uiPriority w:val="99"/>
    <w:unhideWhenUsed/>
    <w:rsid w:val="008C1CFA"/>
    <w:pPr>
      <w:tabs>
        <w:tab w:val="center" w:pos="4153"/>
        <w:tab w:val="right" w:pos="8306"/>
      </w:tabs>
      <w:snapToGrid w:val="0"/>
    </w:pPr>
    <w:rPr>
      <w:sz w:val="18"/>
      <w:szCs w:val="18"/>
    </w:rPr>
  </w:style>
  <w:style w:type="character" w:customStyle="1" w:styleId="a6">
    <w:name w:val="页脚 字符"/>
    <w:basedOn w:val="a0"/>
    <w:link w:val="a5"/>
    <w:uiPriority w:val="99"/>
    <w:rsid w:val="008C1C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768">
      <w:marLeft w:val="0"/>
      <w:marRight w:val="720"/>
      <w:marTop w:val="10"/>
      <w:marBottom w:val="10"/>
      <w:divBdr>
        <w:top w:val="none" w:sz="0" w:space="0" w:color="auto"/>
        <w:left w:val="none" w:sz="0" w:space="0" w:color="auto"/>
        <w:bottom w:val="none" w:sz="0" w:space="0" w:color="auto"/>
        <w:right w:val="none" w:sz="0" w:space="0" w:color="auto"/>
      </w:divBdr>
    </w:div>
    <w:div w:id="102962108">
      <w:marLeft w:val="0"/>
      <w:marRight w:val="0"/>
      <w:marTop w:val="10"/>
      <w:marBottom w:val="10"/>
      <w:divBdr>
        <w:top w:val="none" w:sz="0" w:space="0" w:color="auto"/>
        <w:left w:val="none" w:sz="0" w:space="0" w:color="auto"/>
        <w:bottom w:val="none" w:sz="0" w:space="0" w:color="auto"/>
        <w:right w:val="none" w:sz="0" w:space="0" w:color="auto"/>
      </w:divBdr>
    </w:div>
    <w:div w:id="209659782">
      <w:marLeft w:val="0"/>
      <w:marRight w:val="0"/>
      <w:marTop w:val="10"/>
      <w:marBottom w:val="10"/>
      <w:divBdr>
        <w:top w:val="none" w:sz="0" w:space="0" w:color="auto"/>
        <w:left w:val="none" w:sz="0" w:space="0" w:color="auto"/>
        <w:bottom w:val="none" w:sz="0" w:space="0" w:color="auto"/>
        <w:right w:val="none" w:sz="0" w:space="0" w:color="auto"/>
      </w:divBdr>
    </w:div>
    <w:div w:id="259070681">
      <w:marLeft w:val="0"/>
      <w:marRight w:val="0"/>
      <w:marTop w:val="10"/>
      <w:marBottom w:val="10"/>
      <w:divBdr>
        <w:top w:val="none" w:sz="0" w:space="0" w:color="auto"/>
        <w:left w:val="none" w:sz="0" w:space="0" w:color="auto"/>
        <w:bottom w:val="none" w:sz="0" w:space="0" w:color="auto"/>
        <w:right w:val="none" w:sz="0" w:space="0" w:color="auto"/>
      </w:divBdr>
    </w:div>
    <w:div w:id="357590200">
      <w:marLeft w:val="0"/>
      <w:marRight w:val="0"/>
      <w:marTop w:val="10"/>
      <w:marBottom w:val="10"/>
      <w:divBdr>
        <w:top w:val="none" w:sz="0" w:space="0" w:color="auto"/>
        <w:left w:val="none" w:sz="0" w:space="0" w:color="auto"/>
        <w:bottom w:val="none" w:sz="0" w:space="0" w:color="auto"/>
        <w:right w:val="none" w:sz="0" w:space="0" w:color="auto"/>
      </w:divBdr>
    </w:div>
    <w:div w:id="387918239">
      <w:marLeft w:val="0"/>
      <w:marRight w:val="0"/>
      <w:marTop w:val="10"/>
      <w:marBottom w:val="10"/>
      <w:divBdr>
        <w:top w:val="none" w:sz="0" w:space="0" w:color="auto"/>
        <w:left w:val="none" w:sz="0" w:space="0" w:color="auto"/>
        <w:bottom w:val="none" w:sz="0" w:space="0" w:color="auto"/>
        <w:right w:val="none" w:sz="0" w:space="0" w:color="auto"/>
      </w:divBdr>
    </w:div>
    <w:div w:id="536815316">
      <w:marLeft w:val="0"/>
      <w:marRight w:val="0"/>
      <w:marTop w:val="10"/>
      <w:marBottom w:val="10"/>
      <w:divBdr>
        <w:top w:val="none" w:sz="0" w:space="0" w:color="auto"/>
        <w:left w:val="none" w:sz="0" w:space="0" w:color="auto"/>
        <w:bottom w:val="none" w:sz="0" w:space="0" w:color="auto"/>
        <w:right w:val="none" w:sz="0" w:space="0" w:color="auto"/>
      </w:divBdr>
    </w:div>
    <w:div w:id="547500057">
      <w:marLeft w:val="0"/>
      <w:marRight w:val="720"/>
      <w:marTop w:val="10"/>
      <w:marBottom w:val="10"/>
      <w:divBdr>
        <w:top w:val="none" w:sz="0" w:space="0" w:color="auto"/>
        <w:left w:val="none" w:sz="0" w:space="0" w:color="auto"/>
        <w:bottom w:val="none" w:sz="0" w:space="0" w:color="auto"/>
        <w:right w:val="none" w:sz="0" w:space="0" w:color="auto"/>
      </w:divBdr>
    </w:div>
    <w:div w:id="611476718">
      <w:marLeft w:val="0"/>
      <w:marRight w:val="0"/>
      <w:marTop w:val="10"/>
      <w:marBottom w:val="10"/>
      <w:divBdr>
        <w:top w:val="none" w:sz="0" w:space="0" w:color="auto"/>
        <w:left w:val="none" w:sz="0" w:space="0" w:color="auto"/>
        <w:bottom w:val="none" w:sz="0" w:space="0" w:color="auto"/>
        <w:right w:val="none" w:sz="0" w:space="0" w:color="auto"/>
      </w:divBdr>
    </w:div>
    <w:div w:id="708261583">
      <w:marLeft w:val="0"/>
      <w:marRight w:val="0"/>
      <w:marTop w:val="10"/>
      <w:marBottom w:val="10"/>
      <w:divBdr>
        <w:top w:val="none" w:sz="0" w:space="0" w:color="auto"/>
        <w:left w:val="none" w:sz="0" w:space="0" w:color="auto"/>
        <w:bottom w:val="none" w:sz="0" w:space="0" w:color="auto"/>
        <w:right w:val="none" w:sz="0" w:space="0" w:color="auto"/>
      </w:divBdr>
    </w:div>
    <w:div w:id="741294049">
      <w:marLeft w:val="0"/>
      <w:marRight w:val="0"/>
      <w:marTop w:val="10"/>
      <w:marBottom w:val="10"/>
      <w:divBdr>
        <w:top w:val="none" w:sz="0" w:space="0" w:color="auto"/>
        <w:left w:val="none" w:sz="0" w:space="0" w:color="auto"/>
        <w:bottom w:val="none" w:sz="0" w:space="0" w:color="auto"/>
        <w:right w:val="none" w:sz="0" w:space="0" w:color="auto"/>
      </w:divBdr>
    </w:div>
    <w:div w:id="981740508">
      <w:marLeft w:val="0"/>
      <w:marRight w:val="0"/>
      <w:marTop w:val="10"/>
      <w:marBottom w:val="10"/>
      <w:divBdr>
        <w:top w:val="none" w:sz="0" w:space="0" w:color="auto"/>
        <w:left w:val="none" w:sz="0" w:space="0" w:color="auto"/>
        <w:bottom w:val="none" w:sz="0" w:space="0" w:color="auto"/>
        <w:right w:val="none" w:sz="0" w:space="0" w:color="auto"/>
      </w:divBdr>
    </w:div>
    <w:div w:id="1022558473">
      <w:marLeft w:val="0"/>
      <w:marRight w:val="0"/>
      <w:marTop w:val="10"/>
      <w:marBottom w:val="10"/>
      <w:divBdr>
        <w:top w:val="none" w:sz="0" w:space="0" w:color="auto"/>
        <w:left w:val="none" w:sz="0" w:space="0" w:color="auto"/>
        <w:bottom w:val="none" w:sz="0" w:space="0" w:color="auto"/>
        <w:right w:val="none" w:sz="0" w:space="0" w:color="auto"/>
      </w:divBdr>
    </w:div>
    <w:div w:id="1025132755">
      <w:marLeft w:val="0"/>
      <w:marRight w:val="0"/>
      <w:marTop w:val="10"/>
      <w:marBottom w:val="10"/>
      <w:divBdr>
        <w:top w:val="none" w:sz="0" w:space="0" w:color="auto"/>
        <w:left w:val="none" w:sz="0" w:space="0" w:color="auto"/>
        <w:bottom w:val="none" w:sz="0" w:space="0" w:color="auto"/>
        <w:right w:val="none" w:sz="0" w:space="0" w:color="auto"/>
      </w:divBdr>
    </w:div>
    <w:div w:id="1041437570">
      <w:marLeft w:val="0"/>
      <w:marRight w:val="0"/>
      <w:marTop w:val="10"/>
      <w:marBottom w:val="10"/>
      <w:divBdr>
        <w:top w:val="none" w:sz="0" w:space="0" w:color="auto"/>
        <w:left w:val="none" w:sz="0" w:space="0" w:color="auto"/>
        <w:bottom w:val="none" w:sz="0" w:space="0" w:color="auto"/>
        <w:right w:val="none" w:sz="0" w:space="0" w:color="auto"/>
      </w:divBdr>
    </w:div>
    <w:div w:id="1092046053">
      <w:marLeft w:val="0"/>
      <w:marRight w:val="720"/>
      <w:marTop w:val="10"/>
      <w:marBottom w:val="10"/>
      <w:divBdr>
        <w:top w:val="none" w:sz="0" w:space="0" w:color="auto"/>
        <w:left w:val="none" w:sz="0" w:space="0" w:color="auto"/>
        <w:bottom w:val="none" w:sz="0" w:space="0" w:color="auto"/>
        <w:right w:val="none" w:sz="0" w:space="0" w:color="auto"/>
      </w:divBdr>
    </w:div>
    <w:div w:id="1154377884">
      <w:marLeft w:val="0"/>
      <w:marRight w:val="0"/>
      <w:marTop w:val="10"/>
      <w:marBottom w:val="10"/>
      <w:divBdr>
        <w:top w:val="none" w:sz="0" w:space="0" w:color="auto"/>
        <w:left w:val="none" w:sz="0" w:space="0" w:color="auto"/>
        <w:bottom w:val="none" w:sz="0" w:space="0" w:color="auto"/>
        <w:right w:val="none" w:sz="0" w:space="0" w:color="auto"/>
      </w:divBdr>
    </w:div>
    <w:div w:id="1314673677">
      <w:marLeft w:val="0"/>
      <w:marRight w:val="0"/>
      <w:marTop w:val="10"/>
      <w:marBottom w:val="10"/>
      <w:divBdr>
        <w:top w:val="none" w:sz="0" w:space="0" w:color="auto"/>
        <w:left w:val="none" w:sz="0" w:space="0" w:color="auto"/>
        <w:bottom w:val="none" w:sz="0" w:space="0" w:color="auto"/>
        <w:right w:val="none" w:sz="0" w:space="0" w:color="auto"/>
      </w:divBdr>
    </w:div>
    <w:div w:id="1374191519">
      <w:marLeft w:val="0"/>
      <w:marRight w:val="0"/>
      <w:marTop w:val="10"/>
      <w:marBottom w:val="10"/>
      <w:divBdr>
        <w:top w:val="none" w:sz="0" w:space="0" w:color="auto"/>
        <w:left w:val="none" w:sz="0" w:space="0" w:color="auto"/>
        <w:bottom w:val="none" w:sz="0" w:space="0" w:color="auto"/>
        <w:right w:val="none" w:sz="0" w:space="0" w:color="auto"/>
      </w:divBdr>
    </w:div>
    <w:div w:id="1553616877">
      <w:marLeft w:val="0"/>
      <w:marRight w:val="720"/>
      <w:marTop w:val="10"/>
      <w:marBottom w:val="10"/>
      <w:divBdr>
        <w:top w:val="none" w:sz="0" w:space="0" w:color="auto"/>
        <w:left w:val="none" w:sz="0" w:space="0" w:color="auto"/>
        <w:bottom w:val="none" w:sz="0" w:space="0" w:color="auto"/>
        <w:right w:val="none" w:sz="0" w:space="0" w:color="auto"/>
      </w:divBdr>
    </w:div>
    <w:div w:id="1610308839">
      <w:marLeft w:val="0"/>
      <w:marRight w:val="720"/>
      <w:marTop w:val="10"/>
      <w:marBottom w:val="10"/>
      <w:divBdr>
        <w:top w:val="none" w:sz="0" w:space="0" w:color="auto"/>
        <w:left w:val="none" w:sz="0" w:space="0" w:color="auto"/>
        <w:bottom w:val="none" w:sz="0" w:space="0" w:color="auto"/>
        <w:right w:val="none" w:sz="0" w:space="0" w:color="auto"/>
      </w:divBdr>
    </w:div>
    <w:div w:id="1857838857">
      <w:marLeft w:val="0"/>
      <w:marRight w:val="0"/>
      <w:marTop w:val="10"/>
      <w:marBottom w:val="10"/>
      <w:divBdr>
        <w:top w:val="none" w:sz="0" w:space="0" w:color="auto"/>
        <w:left w:val="none" w:sz="0" w:space="0" w:color="auto"/>
        <w:bottom w:val="none" w:sz="0" w:space="0" w:color="auto"/>
        <w:right w:val="none" w:sz="0" w:space="0" w:color="auto"/>
      </w:divBdr>
    </w:div>
    <w:div w:id="19116913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