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030" w:rsidRDefault="003A6030">
      <w:pPr>
        <w:spacing w:line="500" w:lineRule="atLeast"/>
        <w:jc w:val="center"/>
        <w:divId w:val="625352273"/>
        <w:rPr>
          <w:rFonts w:ascii="黑体" w:eastAsia="黑体" w:hAnsi="黑体"/>
          <w:sz w:val="36"/>
          <w:szCs w:val="36"/>
        </w:rPr>
      </w:pPr>
      <w:r>
        <w:rPr>
          <w:rFonts w:ascii="黑体" w:eastAsia="黑体" w:hAnsi="黑体" w:hint="eastAsia"/>
          <w:sz w:val="36"/>
          <w:szCs w:val="36"/>
        </w:rPr>
        <w:t>广东省广州市越秀区人民法院</w:t>
      </w:r>
    </w:p>
    <w:p w:rsidR="003A6030" w:rsidRDefault="003A6030">
      <w:pPr>
        <w:spacing w:line="500" w:lineRule="atLeast"/>
        <w:jc w:val="center"/>
        <w:divId w:val="6261601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A6030" w:rsidRDefault="003A6030">
      <w:pPr>
        <w:spacing w:line="500" w:lineRule="atLeast"/>
        <w:jc w:val="right"/>
        <w:divId w:val="19353538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24</w:t>
      </w:r>
      <w:r>
        <w:rPr>
          <w:rFonts w:hint="eastAsia"/>
          <w:sz w:val="30"/>
          <w:szCs w:val="30"/>
        </w:rPr>
        <w:t>号</w:t>
      </w:r>
    </w:p>
    <w:p w:rsidR="003A6030" w:rsidRDefault="003A6030">
      <w:pPr>
        <w:spacing w:line="500" w:lineRule="atLeast"/>
        <w:ind w:firstLine="600"/>
        <w:divId w:val="827133090"/>
        <w:rPr>
          <w:rFonts w:hint="eastAsia"/>
          <w:sz w:val="30"/>
          <w:szCs w:val="30"/>
        </w:rPr>
      </w:pPr>
      <w:r>
        <w:rPr>
          <w:rFonts w:hint="eastAsia"/>
          <w:sz w:val="30"/>
          <w:szCs w:val="30"/>
        </w:rPr>
        <w:t>公诉机关广东省广州市越秀区人民检察院。</w:t>
      </w:r>
    </w:p>
    <w:p w:rsidR="003A6030" w:rsidRDefault="003A6030">
      <w:pPr>
        <w:spacing w:line="500" w:lineRule="atLeast"/>
        <w:ind w:firstLine="600"/>
        <w:divId w:val="643697497"/>
        <w:rPr>
          <w:rFonts w:hint="eastAsia"/>
          <w:sz w:val="30"/>
          <w:szCs w:val="30"/>
        </w:rPr>
      </w:pPr>
      <w:r>
        <w:rPr>
          <w:rFonts w:hint="eastAsia"/>
          <w:sz w:val="30"/>
          <w:szCs w:val="30"/>
        </w:rPr>
        <w:t>被告人蓝柳和，男，</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日出生，畲族，出生地浙江省云和县，文化程度博士研究生，原系广州市照明建设管理中心副主任（正处级），户籍地广州市越秀区。因本案于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日被逮捕。现羁押于广州市第一看守所。</w:t>
      </w:r>
    </w:p>
    <w:p w:rsidR="003A6030" w:rsidRDefault="003A6030">
      <w:pPr>
        <w:spacing w:line="500" w:lineRule="atLeast"/>
        <w:ind w:firstLine="600"/>
        <w:divId w:val="1523788173"/>
        <w:rPr>
          <w:rFonts w:hint="eastAsia"/>
          <w:sz w:val="30"/>
          <w:szCs w:val="30"/>
        </w:rPr>
      </w:pPr>
      <w:r>
        <w:rPr>
          <w:rFonts w:hint="eastAsia"/>
          <w:sz w:val="30"/>
          <w:szCs w:val="30"/>
        </w:rPr>
        <w:t>辩护人李伟东、钟浩荣，广州金鹏律师事务所律师。</w:t>
      </w:r>
    </w:p>
    <w:p w:rsidR="003A6030" w:rsidRDefault="003A6030">
      <w:pPr>
        <w:spacing w:line="500" w:lineRule="atLeast"/>
        <w:ind w:firstLine="600"/>
        <w:divId w:val="299842698"/>
        <w:rPr>
          <w:rFonts w:hint="eastAsia"/>
          <w:sz w:val="30"/>
          <w:szCs w:val="30"/>
        </w:rPr>
      </w:pPr>
      <w:r>
        <w:rPr>
          <w:rFonts w:hint="eastAsia"/>
          <w:sz w:val="30"/>
          <w:szCs w:val="30"/>
        </w:rPr>
        <w:t>广东省广州市越秀区人民检察院以越检刑诉</w:t>
      </w:r>
      <w:r>
        <w:rPr>
          <w:rFonts w:hint="eastAsia"/>
          <w:sz w:val="30"/>
          <w:szCs w:val="30"/>
        </w:rPr>
        <w:t>[2017]1673</w:t>
      </w:r>
      <w:r>
        <w:rPr>
          <w:rFonts w:hint="eastAsia"/>
          <w:sz w:val="30"/>
          <w:szCs w:val="30"/>
        </w:rPr>
        <w:t>号起诉书指控被告人蓝柳和犯受贿罪，于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日向本院提起公诉。本院立案后，依法组成合议庭，公开开庭审理了本案。广州市越秀区人民检察院指派检察员陈颖出庭支持公诉，被告人蓝柳和及辩护人李伟东到庭参加诉讼。现已审理终结。</w:t>
      </w:r>
    </w:p>
    <w:p w:rsidR="003A6030" w:rsidRDefault="003A6030">
      <w:pPr>
        <w:spacing w:line="500" w:lineRule="atLeast"/>
        <w:ind w:firstLine="600"/>
        <w:divId w:val="56826909"/>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蓝柳和在担任广州市城乡建设委员会城市环境建设处副调研员、广州市照明建设管理中心副主任期间，利用其负责广州市景观照明建设和市政中心区路灯节能改造等工作的职务便利，先后分多次收受广州夜空彩虹光电科技有限公司董事长严某（另案处理）贿送的现金人民币</w:t>
      </w:r>
      <w:r>
        <w:rPr>
          <w:rFonts w:hint="eastAsia"/>
          <w:sz w:val="30"/>
          <w:szCs w:val="30"/>
        </w:rPr>
        <w:t>22</w:t>
      </w:r>
      <w:r>
        <w:rPr>
          <w:rFonts w:hint="eastAsia"/>
          <w:sz w:val="30"/>
          <w:szCs w:val="30"/>
        </w:rPr>
        <w:t>万元、收受广州久州英联微网科技服务有限公司总经理梁某（另案处理）贿送的现金人民币</w:t>
      </w:r>
      <w:r>
        <w:rPr>
          <w:rFonts w:hint="eastAsia"/>
          <w:sz w:val="30"/>
          <w:szCs w:val="30"/>
        </w:rPr>
        <w:t>30</w:t>
      </w:r>
      <w:r>
        <w:rPr>
          <w:rFonts w:hint="eastAsia"/>
          <w:sz w:val="30"/>
          <w:szCs w:val="30"/>
        </w:rPr>
        <w:t>万元、收受广州良业照明工程有限公司原总经理胡某（另案处理）贿送的现金人民币</w:t>
      </w:r>
      <w:r>
        <w:rPr>
          <w:rFonts w:hint="eastAsia"/>
          <w:sz w:val="30"/>
          <w:szCs w:val="30"/>
        </w:rPr>
        <w:t>10</w:t>
      </w:r>
      <w:r>
        <w:rPr>
          <w:rFonts w:hint="eastAsia"/>
          <w:sz w:val="30"/>
          <w:szCs w:val="30"/>
        </w:rPr>
        <w:t>万元、价值人民币</w:t>
      </w:r>
      <w:r>
        <w:rPr>
          <w:rFonts w:hint="eastAsia"/>
          <w:sz w:val="30"/>
          <w:szCs w:val="30"/>
        </w:rPr>
        <w:t>10</w:t>
      </w:r>
      <w:r>
        <w:rPr>
          <w:rFonts w:hint="eastAsia"/>
          <w:sz w:val="30"/>
          <w:szCs w:val="30"/>
        </w:rPr>
        <w:t>万元的购物卡。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日，被告人蓝柳和向广州市人民检察院投案自首，其家属退缴赃款人民币</w:t>
      </w:r>
      <w:r>
        <w:rPr>
          <w:rFonts w:hint="eastAsia"/>
          <w:sz w:val="30"/>
          <w:szCs w:val="30"/>
        </w:rPr>
        <w:t>80</w:t>
      </w:r>
      <w:r>
        <w:rPr>
          <w:rFonts w:hint="eastAsia"/>
          <w:sz w:val="30"/>
          <w:szCs w:val="30"/>
        </w:rPr>
        <w:t>万元。</w:t>
      </w:r>
    </w:p>
    <w:p w:rsidR="003A6030" w:rsidRDefault="003A6030">
      <w:pPr>
        <w:spacing w:line="500" w:lineRule="atLeast"/>
        <w:ind w:firstLine="600"/>
        <w:divId w:val="429085875"/>
        <w:rPr>
          <w:rFonts w:hint="eastAsia"/>
          <w:sz w:val="30"/>
          <w:szCs w:val="30"/>
        </w:rPr>
      </w:pPr>
      <w:r>
        <w:rPr>
          <w:rFonts w:hint="eastAsia"/>
          <w:sz w:val="30"/>
          <w:szCs w:val="30"/>
        </w:rPr>
        <w:lastRenderedPageBreak/>
        <w:t>公诉机关随案移送了相关证据，认为被告人蓝柳和身为国家工作人员，非法收受他人财物，为他人谋取利益，其行为触犯《中华人民共和国刑法》第三百八十五条第一款，应当以受贿罪追究刑事责任。被告人犯罪后自动投案，如实供述自己的罪行，是自首，依法可以从轻或减轻处罚。提请本院依法判处。</w:t>
      </w:r>
    </w:p>
    <w:p w:rsidR="003A6030" w:rsidRDefault="003A6030">
      <w:pPr>
        <w:spacing w:line="500" w:lineRule="atLeast"/>
        <w:ind w:firstLine="600"/>
        <w:divId w:val="1819803952"/>
        <w:rPr>
          <w:rFonts w:hint="eastAsia"/>
          <w:sz w:val="30"/>
          <w:szCs w:val="30"/>
        </w:rPr>
      </w:pPr>
      <w:r>
        <w:rPr>
          <w:rFonts w:hint="eastAsia"/>
          <w:sz w:val="30"/>
          <w:szCs w:val="30"/>
        </w:rPr>
        <w:t>被告人蓝柳和对指控的事实及罪名没有意见。其辩护人辩护认为，被告人蓝柳和是自首，自愿认罪认罚，且已退缴全部赃款，其犯罪主观恶性较小，建议法庭对其从轻减轻处罚。</w:t>
      </w:r>
    </w:p>
    <w:p w:rsidR="003A6030" w:rsidRDefault="003A6030">
      <w:pPr>
        <w:spacing w:line="500" w:lineRule="atLeast"/>
        <w:ind w:firstLine="600"/>
        <w:divId w:val="8350072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蓝柳和在担任广州市城乡建设委员会城市环境建设处副调研员、广州市照明建设管理中心副主任期间，利用负责广州市景观照明建设和市政中心区路灯节能改造等工作的职务便利为相关单位提供帮助，先后分别收受广州夜空彩虹光电科技有限公司董事长严某（另案处理）贿送的现金人民币</w:t>
      </w:r>
      <w:r>
        <w:rPr>
          <w:rFonts w:hint="eastAsia"/>
          <w:sz w:val="30"/>
          <w:szCs w:val="30"/>
        </w:rPr>
        <w:t>22</w:t>
      </w:r>
      <w:r>
        <w:rPr>
          <w:rFonts w:hint="eastAsia"/>
          <w:sz w:val="30"/>
          <w:szCs w:val="30"/>
        </w:rPr>
        <w:t>万元、收受广州久州英联微网科技服务有限公司总经理梁某（另案处理）贿送的现金人民币</w:t>
      </w:r>
      <w:r>
        <w:rPr>
          <w:rFonts w:hint="eastAsia"/>
          <w:sz w:val="30"/>
          <w:szCs w:val="30"/>
        </w:rPr>
        <w:t>30</w:t>
      </w:r>
      <w:r>
        <w:rPr>
          <w:rFonts w:hint="eastAsia"/>
          <w:sz w:val="30"/>
          <w:szCs w:val="30"/>
        </w:rPr>
        <w:t>万元、收受广州良业照明工程有限公司原总经理胡某（另案处理）贿送的现金人民币</w:t>
      </w:r>
      <w:r>
        <w:rPr>
          <w:rFonts w:hint="eastAsia"/>
          <w:sz w:val="30"/>
          <w:szCs w:val="30"/>
        </w:rPr>
        <w:t>10</w:t>
      </w:r>
      <w:r>
        <w:rPr>
          <w:rFonts w:hint="eastAsia"/>
          <w:sz w:val="30"/>
          <w:szCs w:val="30"/>
        </w:rPr>
        <w:t>万元及价值人民币</w:t>
      </w:r>
      <w:r>
        <w:rPr>
          <w:rFonts w:hint="eastAsia"/>
          <w:sz w:val="30"/>
          <w:szCs w:val="30"/>
        </w:rPr>
        <w:t>10</w:t>
      </w:r>
      <w:r>
        <w:rPr>
          <w:rFonts w:hint="eastAsia"/>
          <w:sz w:val="30"/>
          <w:szCs w:val="30"/>
        </w:rPr>
        <w:t>万元的购物卡。</w:t>
      </w:r>
    </w:p>
    <w:p w:rsidR="003A6030" w:rsidRDefault="003A6030">
      <w:pPr>
        <w:spacing w:line="500" w:lineRule="atLeast"/>
        <w:ind w:firstLine="600"/>
        <w:divId w:val="154647813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日，被告人蓝柳和向广州市人民检察院投案，如实供述了本案事实。案发后，其家属已代被告人退缴了全部赃款。</w:t>
      </w:r>
    </w:p>
    <w:p w:rsidR="003A6030" w:rsidRDefault="003A6030">
      <w:pPr>
        <w:spacing w:line="500" w:lineRule="atLeast"/>
        <w:ind w:firstLine="600"/>
        <w:divId w:val="723527416"/>
        <w:rPr>
          <w:rFonts w:hint="eastAsia"/>
          <w:sz w:val="30"/>
          <w:szCs w:val="30"/>
        </w:rPr>
      </w:pPr>
      <w:r>
        <w:rPr>
          <w:rFonts w:hint="eastAsia"/>
          <w:sz w:val="30"/>
          <w:szCs w:val="30"/>
        </w:rPr>
        <w:t>上述事实，被告人蓝柳和在开庭审理过程中亦无异议，并有行贿人严某、梁某、胡某的供述，广州市住房和城乡建设委员会组织人事处出具的蓝柳和职责说明，中共广州市城乡建设工作委员会关于蓝柳和任职的通知，被告人蓝柳和的干部任免审批表、公务员登记表、干部履历表，涉案公司的工商资料及相关合同、协议及银行凭证等，被告人蓝柳和的人口信息资料，检察机关的破案报告，蓝柳和的供述等证据证实，足以认定。</w:t>
      </w:r>
    </w:p>
    <w:p w:rsidR="003A6030" w:rsidRDefault="003A6030">
      <w:pPr>
        <w:spacing w:line="500" w:lineRule="atLeast"/>
        <w:ind w:firstLine="600"/>
        <w:divId w:val="2057925261"/>
        <w:rPr>
          <w:rFonts w:hint="eastAsia"/>
          <w:sz w:val="30"/>
          <w:szCs w:val="30"/>
        </w:rPr>
      </w:pPr>
      <w:r>
        <w:rPr>
          <w:rFonts w:hint="eastAsia"/>
          <w:sz w:val="30"/>
          <w:szCs w:val="30"/>
        </w:rPr>
        <w:t>本院认为，被告人蓝柳和身为国家工作人员，利用职务上的便利，非法收受他人财物，数额巨大，为他人谋取利益，其行为构成受贿罪。公诉机关的指控事实清楚，证据充分，罪名成立，本院予以支持。被告人蓝柳和犯罪以后主动投案，如实供述自己的罪行，是自首，依法可从轻、减轻处罚。被告人已退缴全部赃款，可酌情从轻处罚。根据被告人的犯罪事实、性质、认罪态度、退赃情况等情节，决定对其减轻处罚，辩护人的相关意见予以采纳。依照《中华人民共和国刑法》第三百八十五条、第三百八十六条、第三百八十三条第一款第（二）项、第六十七条第一款、第五十三条、第六十四条，《最高人民法院、最高人民检察院关于办理贪污贿赂刑事案件适用法律若干问题的解释》第二条第一款、第十九条、第二十条之规定，判决如下：</w:t>
      </w:r>
    </w:p>
    <w:p w:rsidR="003A6030" w:rsidRDefault="003A6030">
      <w:pPr>
        <w:spacing w:line="500" w:lineRule="atLeast"/>
        <w:ind w:firstLine="600"/>
        <w:divId w:val="1139032291"/>
        <w:rPr>
          <w:rFonts w:hint="eastAsia"/>
          <w:sz w:val="30"/>
          <w:szCs w:val="30"/>
        </w:rPr>
      </w:pPr>
      <w:r>
        <w:rPr>
          <w:rFonts w:hint="eastAsia"/>
          <w:sz w:val="30"/>
          <w:szCs w:val="30"/>
        </w:rPr>
        <w:t>一、被告人蓝柳和犯受贿罪，判处有期徒刑二年六个月，并处罚金人民币二十五万元。</w:t>
      </w:r>
    </w:p>
    <w:p w:rsidR="003A6030" w:rsidRDefault="003A6030">
      <w:pPr>
        <w:spacing w:line="500" w:lineRule="atLeast"/>
        <w:ind w:firstLine="600"/>
        <w:divId w:val="16002588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日止。罚金应于本判决发生法律效力之次日起五日内向本院一次缴纳）。</w:t>
      </w:r>
    </w:p>
    <w:p w:rsidR="003A6030" w:rsidRDefault="003A6030">
      <w:pPr>
        <w:spacing w:line="500" w:lineRule="atLeast"/>
        <w:ind w:firstLine="600"/>
        <w:divId w:val="1796943380"/>
        <w:rPr>
          <w:rFonts w:hint="eastAsia"/>
          <w:sz w:val="30"/>
          <w:szCs w:val="30"/>
        </w:rPr>
      </w:pPr>
      <w:r>
        <w:rPr>
          <w:rFonts w:hint="eastAsia"/>
          <w:sz w:val="30"/>
          <w:szCs w:val="30"/>
        </w:rPr>
        <w:t>二、被告人蓝柳和退缴的赃款人民币</w:t>
      </w:r>
      <w:r>
        <w:rPr>
          <w:rFonts w:hint="eastAsia"/>
          <w:sz w:val="30"/>
          <w:szCs w:val="30"/>
        </w:rPr>
        <w:t>72</w:t>
      </w:r>
      <w:r>
        <w:rPr>
          <w:rFonts w:hint="eastAsia"/>
          <w:sz w:val="30"/>
          <w:szCs w:val="30"/>
        </w:rPr>
        <w:t>万元予以没收、上缴国库（由扣押机关执行）。</w:t>
      </w:r>
    </w:p>
    <w:p w:rsidR="003A6030" w:rsidRDefault="003A6030">
      <w:pPr>
        <w:spacing w:line="500" w:lineRule="atLeast"/>
        <w:ind w:firstLine="600"/>
        <w:divId w:val="106437627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3A6030" w:rsidRDefault="003A6030">
      <w:pPr>
        <w:spacing w:line="500" w:lineRule="atLeast"/>
        <w:jc w:val="right"/>
        <w:divId w:val="606960065"/>
        <w:rPr>
          <w:rFonts w:hint="eastAsia"/>
          <w:sz w:val="30"/>
          <w:szCs w:val="30"/>
        </w:rPr>
      </w:pPr>
      <w:r>
        <w:rPr>
          <w:rFonts w:hint="eastAsia"/>
          <w:sz w:val="30"/>
          <w:szCs w:val="30"/>
        </w:rPr>
        <w:t>审　判　长　　朱永娟</w:t>
      </w:r>
    </w:p>
    <w:p w:rsidR="003A6030" w:rsidRDefault="003A6030">
      <w:pPr>
        <w:spacing w:line="500" w:lineRule="atLeast"/>
        <w:jc w:val="right"/>
        <w:divId w:val="241334137"/>
        <w:rPr>
          <w:rFonts w:hint="eastAsia"/>
          <w:sz w:val="30"/>
          <w:szCs w:val="30"/>
        </w:rPr>
      </w:pPr>
      <w:r>
        <w:rPr>
          <w:rFonts w:hint="eastAsia"/>
          <w:sz w:val="30"/>
          <w:szCs w:val="30"/>
        </w:rPr>
        <w:t>审　判　员　　闵琦媛</w:t>
      </w:r>
    </w:p>
    <w:p w:rsidR="003A6030" w:rsidRDefault="003A6030">
      <w:pPr>
        <w:spacing w:line="500" w:lineRule="atLeast"/>
        <w:jc w:val="right"/>
        <w:divId w:val="377050859"/>
        <w:rPr>
          <w:rFonts w:hint="eastAsia"/>
          <w:sz w:val="30"/>
          <w:szCs w:val="30"/>
        </w:rPr>
      </w:pPr>
      <w:r>
        <w:rPr>
          <w:rFonts w:hint="eastAsia"/>
          <w:sz w:val="30"/>
          <w:szCs w:val="30"/>
        </w:rPr>
        <w:t>人民陪审员　　黄小玲</w:t>
      </w:r>
    </w:p>
    <w:p w:rsidR="003A6030" w:rsidRDefault="003A6030">
      <w:pPr>
        <w:spacing w:line="500" w:lineRule="atLeast"/>
        <w:jc w:val="right"/>
        <w:divId w:val="79062178"/>
        <w:rPr>
          <w:rFonts w:hint="eastAsia"/>
          <w:sz w:val="30"/>
          <w:szCs w:val="30"/>
        </w:rPr>
      </w:pPr>
      <w:r>
        <w:rPr>
          <w:rFonts w:hint="eastAsia"/>
          <w:sz w:val="30"/>
          <w:szCs w:val="30"/>
        </w:rPr>
        <w:t>二〇一八年三月二十日</w:t>
      </w:r>
    </w:p>
    <w:p w:rsidR="003A6030" w:rsidRDefault="003A6030">
      <w:pPr>
        <w:spacing w:line="500" w:lineRule="atLeast"/>
        <w:jc w:val="right"/>
        <w:divId w:val="1275013568"/>
        <w:rPr>
          <w:rFonts w:hint="eastAsia"/>
          <w:sz w:val="30"/>
          <w:szCs w:val="30"/>
        </w:rPr>
      </w:pPr>
      <w:r>
        <w:rPr>
          <w:rFonts w:hint="eastAsia"/>
          <w:sz w:val="30"/>
          <w:szCs w:val="30"/>
        </w:rPr>
        <w:t>书　记　员　　徐　婷</w:t>
      </w:r>
    </w:p>
    <w:p w:rsidR="003A6030" w:rsidRDefault="003A6030">
      <w:pPr>
        <w:spacing w:line="500" w:lineRule="atLeast"/>
        <w:ind w:firstLine="600"/>
        <w:divId w:val="1255169630"/>
        <w:rPr>
          <w:rFonts w:hint="eastAsia"/>
          <w:sz w:val="30"/>
          <w:szCs w:val="30"/>
        </w:rPr>
      </w:pPr>
      <w:r>
        <w:rPr>
          <w:rFonts w:hint="eastAsia"/>
          <w:sz w:val="30"/>
          <w:szCs w:val="30"/>
        </w:rPr>
        <w:t>法庭记录刘宸</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6030" w:rsidRDefault="003A6030" w:rsidP="003A6030">
      <w:pPr>
        <w:rPr>
          <w:rFonts w:hint="eastAsia"/>
        </w:rPr>
      </w:pPr>
      <w:r>
        <w:separator/>
      </w:r>
    </w:p>
  </w:endnote>
  <w:endnote w:type="continuationSeparator" w:id="0">
    <w:p w:rsidR="003A6030" w:rsidRDefault="003A6030" w:rsidP="003A60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6030" w:rsidRDefault="003A6030" w:rsidP="003A6030">
      <w:pPr>
        <w:rPr>
          <w:rFonts w:hint="eastAsia"/>
        </w:rPr>
      </w:pPr>
      <w:r>
        <w:separator/>
      </w:r>
    </w:p>
  </w:footnote>
  <w:footnote w:type="continuationSeparator" w:id="0">
    <w:p w:rsidR="003A6030" w:rsidRDefault="003A6030" w:rsidP="003A60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6030"/>
    <w:rsid w:val="003A603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6030"/>
    <w:pPr>
      <w:tabs>
        <w:tab w:val="center" w:pos="4153"/>
        <w:tab w:val="right" w:pos="8306"/>
      </w:tabs>
      <w:snapToGrid w:val="0"/>
      <w:jc w:val="center"/>
    </w:pPr>
    <w:rPr>
      <w:sz w:val="18"/>
      <w:szCs w:val="18"/>
    </w:rPr>
  </w:style>
  <w:style w:type="character" w:customStyle="1" w:styleId="a4">
    <w:name w:val="页眉 字符"/>
    <w:basedOn w:val="a0"/>
    <w:link w:val="a3"/>
    <w:uiPriority w:val="99"/>
    <w:rsid w:val="003A6030"/>
    <w:rPr>
      <w:rFonts w:ascii="宋体" w:eastAsia="宋体" w:hAnsi="宋体" w:cs="宋体"/>
      <w:sz w:val="18"/>
      <w:szCs w:val="18"/>
    </w:rPr>
  </w:style>
  <w:style w:type="paragraph" w:styleId="a5">
    <w:name w:val="footer"/>
    <w:basedOn w:val="a"/>
    <w:link w:val="a6"/>
    <w:uiPriority w:val="99"/>
    <w:unhideWhenUsed/>
    <w:rsid w:val="003A6030"/>
    <w:pPr>
      <w:tabs>
        <w:tab w:val="center" w:pos="4153"/>
        <w:tab w:val="right" w:pos="8306"/>
      </w:tabs>
      <w:snapToGrid w:val="0"/>
    </w:pPr>
    <w:rPr>
      <w:sz w:val="18"/>
      <w:szCs w:val="18"/>
    </w:rPr>
  </w:style>
  <w:style w:type="character" w:customStyle="1" w:styleId="a6">
    <w:name w:val="页脚 字符"/>
    <w:basedOn w:val="a0"/>
    <w:link w:val="a5"/>
    <w:uiPriority w:val="99"/>
    <w:rsid w:val="003A60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6909">
      <w:marLeft w:val="0"/>
      <w:marRight w:val="0"/>
      <w:marTop w:val="10"/>
      <w:marBottom w:val="10"/>
      <w:divBdr>
        <w:top w:val="none" w:sz="0" w:space="0" w:color="auto"/>
        <w:left w:val="none" w:sz="0" w:space="0" w:color="auto"/>
        <w:bottom w:val="none" w:sz="0" w:space="0" w:color="auto"/>
        <w:right w:val="none" w:sz="0" w:space="0" w:color="auto"/>
      </w:divBdr>
    </w:div>
    <w:div w:id="79062178">
      <w:marLeft w:val="0"/>
      <w:marRight w:val="720"/>
      <w:marTop w:val="10"/>
      <w:marBottom w:val="10"/>
      <w:divBdr>
        <w:top w:val="none" w:sz="0" w:space="0" w:color="auto"/>
        <w:left w:val="none" w:sz="0" w:space="0" w:color="auto"/>
        <w:bottom w:val="none" w:sz="0" w:space="0" w:color="auto"/>
        <w:right w:val="none" w:sz="0" w:space="0" w:color="auto"/>
      </w:divBdr>
    </w:div>
    <w:div w:id="83500720">
      <w:marLeft w:val="0"/>
      <w:marRight w:val="0"/>
      <w:marTop w:val="10"/>
      <w:marBottom w:val="10"/>
      <w:divBdr>
        <w:top w:val="none" w:sz="0" w:space="0" w:color="auto"/>
        <w:left w:val="none" w:sz="0" w:space="0" w:color="auto"/>
        <w:bottom w:val="none" w:sz="0" w:space="0" w:color="auto"/>
        <w:right w:val="none" w:sz="0" w:space="0" w:color="auto"/>
      </w:divBdr>
    </w:div>
    <w:div w:id="241334137">
      <w:marLeft w:val="0"/>
      <w:marRight w:val="720"/>
      <w:marTop w:val="10"/>
      <w:marBottom w:val="10"/>
      <w:divBdr>
        <w:top w:val="none" w:sz="0" w:space="0" w:color="auto"/>
        <w:left w:val="none" w:sz="0" w:space="0" w:color="auto"/>
        <w:bottom w:val="none" w:sz="0" w:space="0" w:color="auto"/>
        <w:right w:val="none" w:sz="0" w:space="0" w:color="auto"/>
      </w:divBdr>
    </w:div>
    <w:div w:id="299842698">
      <w:marLeft w:val="0"/>
      <w:marRight w:val="0"/>
      <w:marTop w:val="10"/>
      <w:marBottom w:val="10"/>
      <w:divBdr>
        <w:top w:val="none" w:sz="0" w:space="0" w:color="auto"/>
        <w:left w:val="none" w:sz="0" w:space="0" w:color="auto"/>
        <w:bottom w:val="none" w:sz="0" w:space="0" w:color="auto"/>
        <w:right w:val="none" w:sz="0" w:space="0" w:color="auto"/>
      </w:divBdr>
    </w:div>
    <w:div w:id="377050859">
      <w:marLeft w:val="0"/>
      <w:marRight w:val="720"/>
      <w:marTop w:val="10"/>
      <w:marBottom w:val="10"/>
      <w:divBdr>
        <w:top w:val="none" w:sz="0" w:space="0" w:color="auto"/>
        <w:left w:val="none" w:sz="0" w:space="0" w:color="auto"/>
        <w:bottom w:val="none" w:sz="0" w:space="0" w:color="auto"/>
        <w:right w:val="none" w:sz="0" w:space="0" w:color="auto"/>
      </w:divBdr>
    </w:div>
    <w:div w:id="429085875">
      <w:marLeft w:val="0"/>
      <w:marRight w:val="0"/>
      <w:marTop w:val="10"/>
      <w:marBottom w:val="10"/>
      <w:divBdr>
        <w:top w:val="none" w:sz="0" w:space="0" w:color="auto"/>
        <w:left w:val="none" w:sz="0" w:space="0" w:color="auto"/>
        <w:bottom w:val="none" w:sz="0" w:space="0" w:color="auto"/>
        <w:right w:val="none" w:sz="0" w:space="0" w:color="auto"/>
      </w:divBdr>
    </w:div>
    <w:div w:id="606960065">
      <w:marLeft w:val="0"/>
      <w:marRight w:val="720"/>
      <w:marTop w:val="10"/>
      <w:marBottom w:val="10"/>
      <w:divBdr>
        <w:top w:val="none" w:sz="0" w:space="0" w:color="auto"/>
        <w:left w:val="none" w:sz="0" w:space="0" w:color="auto"/>
        <w:bottom w:val="none" w:sz="0" w:space="0" w:color="auto"/>
        <w:right w:val="none" w:sz="0" w:space="0" w:color="auto"/>
      </w:divBdr>
    </w:div>
    <w:div w:id="625352273">
      <w:marLeft w:val="0"/>
      <w:marRight w:val="0"/>
      <w:marTop w:val="10"/>
      <w:marBottom w:val="10"/>
      <w:divBdr>
        <w:top w:val="none" w:sz="0" w:space="0" w:color="auto"/>
        <w:left w:val="none" w:sz="0" w:space="0" w:color="auto"/>
        <w:bottom w:val="none" w:sz="0" w:space="0" w:color="auto"/>
        <w:right w:val="none" w:sz="0" w:space="0" w:color="auto"/>
      </w:divBdr>
    </w:div>
    <w:div w:id="626160194">
      <w:marLeft w:val="0"/>
      <w:marRight w:val="0"/>
      <w:marTop w:val="10"/>
      <w:marBottom w:val="10"/>
      <w:divBdr>
        <w:top w:val="none" w:sz="0" w:space="0" w:color="auto"/>
        <w:left w:val="none" w:sz="0" w:space="0" w:color="auto"/>
        <w:bottom w:val="none" w:sz="0" w:space="0" w:color="auto"/>
        <w:right w:val="none" w:sz="0" w:space="0" w:color="auto"/>
      </w:divBdr>
    </w:div>
    <w:div w:id="643697497">
      <w:marLeft w:val="0"/>
      <w:marRight w:val="0"/>
      <w:marTop w:val="10"/>
      <w:marBottom w:val="10"/>
      <w:divBdr>
        <w:top w:val="none" w:sz="0" w:space="0" w:color="auto"/>
        <w:left w:val="none" w:sz="0" w:space="0" w:color="auto"/>
        <w:bottom w:val="none" w:sz="0" w:space="0" w:color="auto"/>
        <w:right w:val="none" w:sz="0" w:space="0" w:color="auto"/>
      </w:divBdr>
    </w:div>
    <w:div w:id="723527416">
      <w:marLeft w:val="0"/>
      <w:marRight w:val="0"/>
      <w:marTop w:val="10"/>
      <w:marBottom w:val="10"/>
      <w:divBdr>
        <w:top w:val="none" w:sz="0" w:space="0" w:color="auto"/>
        <w:left w:val="none" w:sz="0" w:space="0" w:color="auto"/>
        <w:bottom w:val="none" w:sz="0" w:space="0" w:color="auto"/>
        <w:right w:val="none" w:sz="0" w:space="0" w:color="auto"/>
      </w:divBdr>
    </w:div>
    <w:div w:id="827133090">
      <w:marLeft w:val="0"/>
      <w:marRight w:val="0"/>
      <w:marTop w:val="10"/>
      <w:marBottom w:val="10"/>
      <w:divBdr>
        <w:top w:val="none" w:sz="0" w:space="0" w:color="auto"/>
        <w:left w:val="none" w:sz="0" w:space="0" w:color="auto"/>
        <w:bottom w:val="none" w:sz="0" w:space="0" w:color="auto"/>
        <w:right w:val="none" w:sz="0" w:space="0" w:color="auto"/>
      </w:divBdr>
    </w:div>
    <w:div w:id="1064376279">
      <w:marLeft w:val="0"/>
      <w:marRight w:val="0"/>
      <w:marTop w:val="10"/>
      <w:marBottom w:val="10"/>
      <w:divBdr>
        <w:top w:val="none" w:sz="0" w:space="0" w:color="auto"/>
        <w:left w:val="none" w:sz="0" w:space="0" w:color="auto"/>
        <w:bottom w:val="none" w:sz="0" w:space="0" w:color="auto"/>
        <w:right w:val="none" w:sz="0" w:space="0" w:color="auto"/>
      </w:divBdr>
    </w:div>
    <w:div w:id="1139032291">
      <w:marLeft w:val="0"/>
      <w:marRight w:val="0"/>
      <w:marTop w:val="10"/>
      <w:marBottom w:val="10"/>
      <w:divBdr>
        <w:top w:val="none" w:sz="0" w:space="0" w:color="auto"/>
        <w:left w:val="none" w:sz="0" w:space="0" w:color="auto"/>
        <w:bottom w:val="none" w:sz="0" w:space="0" w:color="auto"/>
        <w:right w:val="none" w:sz="0" w:space="0" w:color="auto"/>
      </w:divBdr>
    </w:div>
    <w:div w:id="1255169630">
      <w:marLeft w:val="0"/>
      <w:marRight w:val="0"/>
      <w:marTop w:val="10"/>
      <w:marBottom w:val="10"/>
      <w:divBdr>
        <w:top w:val="none" w:sz="0" w:space="0" w:color="auto"/>
        <w:left w:val="none" w:sz="0" w:space="0" w:color="auto"/>
        <w:bottom w:val="none" w:sz="0" w:space="0" w:color="auto"/>
        <w:right w:val="none" w:sz="0" w:space="0" w:color="auto"/>
      </w:divBdr>
    </w:div>
    <w:div w:id="1275013568">
      <w:marLeft w:val="0"/>
      <w:marRight w:val="720"/>
      <w:marTop w:val="10"/>
      <w:marBottom w:val="10"/>
      <w:divBdr>
        <w:top w:val="none" w:sz="0" w:space="0" w:color="auto"/>
        <w:left w:val="none" w:sz="0" w:space="0" w:color="auto"/>
        <w:bottom w:val="none" w:sz="0" w:space="0" w:color="auto"/>
        <w:right w:val="none" w:sz="0" w:space="0" w:color="auto"/>
      </w:divBdr>
    </w:div>
    <w:div w:id="1523788173">
      <w:marLeft w:val="0"/>
      <w:marRight w:val="0"/>
      <w:marTop w:val="10"/>
      <w:marBottom w:val="10"/>
      <w:divBdr>
        <w:top w:val="none" w:sz="0" w:space="0" w:color="auto"/>
        <w:left w:val="none" w:sz="0" w:space="0" w:color="auto"/>
        <w:bottom w:val="none" w:sz="0" w:space="0" w:color="auto"/>
        <w:right w:val="none" w:sz="0" w:space="0" w:color="auto"/>
      </w:divBdr>
    </w:div>
    <w:div w:id="1546478133">
      <w:marLeft w:val="0"/>
      <w:marRight w:val="0"/>
      <w:marTop w:val="10"/>
      <w:marBottom w:val="10"/>
      <w:divBdr>
        <w:top w:val="none" w:sz="0" w:space="0" w:color="auto"/>
        <w:left w:val="none" w:sz="0" w:space="0" w:color="auto"/>
        <w:bottom w:val="none" w:sz="0" w:space="0" w:color="auto"/>
        <w:right w:val="none" w:sz="0" w:space="0" w:color="auto"/>
      </w:divBdr>
    </w:div>
    <w:div w:id="1600258848">
      <w:marLeft w:val="0"/>
      <w:marRight w:val="0"/>
      <w:marTop w:val="10"/>
      <w:marBottom w:val="10"/>
      <w:divBdr>
        <w:top w:val="none" w:sz="0" w:space="0" w:color="auto"/>
        <w:left w:val="none" w:sz="0" w:space="0" w:color="auto"/>
        <w:bottom w:val="none" w:sz="0" w:space="0" w:color="auto"/>
        <w:right w:val="none" w:sz="0" w:space="0" w:color="auto"/>
      </w:divBdr>
    </w:div>
    <w:div w:id="1796943380">
      <w:marLeft w:val="0"/>
      <w:marRight w:val="0"/>
      <w:marTop w:val="10"/>
      <w:marBottom w:val="10"/>
      <w:divBdr>
        <w:top w:val="none" w:sz="0" w:space="0" w:color="auto"/>
        <w:left w:val="none" w:sz="0" w:space="0" w:color="auto"/>
        <w:bottom w:val="none" w:sz="0" w:space="0" w:color="auto"/>
        <w:right w:val="none" w:sz="0" w:space="0" w:color="auto"/>
      </w:divBdr>
    </w:div>
    <w:div w:id="1819803952">
      <w:marLeft w:val="0"/>
      <w:marRight w:val="0"/>
      <w:marTop w:val="10"/>
      <w:marBottom w:val="10"/>
      <w:divBdr>
        <w:top w:val="none" w:sz="0" w:space="0" w:color="auto"/>
        <w:left w:val="none" w:sz="0" w:space="0" w:color="auto"/>
        <w:bottom w:val="none" w:sz="0" w:space="0" w:color="auto"/>
        <w:right w:val="none" w:sz="0" w:space="0" w:color="auto"/>
      </w:divBdr>
    </w:div>
    <w:div w:id="1935353833">
      <w:marLeft w:val="0"/>
      <w:marRight w:val="0"/>
      <w:marTop w:val="10"/>
      <w:marBottom w:val="10"/>
      <w:divBdr>
        <w:top w:val="none" w:sz="0" w:space="0" w:color="auto"/>
        <w:left w:val="none" w:sz="0" w:space="0" w:color="auto"/>
        <w:bottom w:val="none" w:sz="0" w:space="0" w:color="auto"/>
        <w:right w:val="none" w:sz="0" w:space="0" w:color="auto"/>
      </w:divBdr>
    </w:div>
    <w:div w:id="20579252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