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6E1C" w:rsidRDefault="00056E1C">
      <w:pPr>
        <w:spacing w:line="500" w:lineRule="atLeast"/>
        <w:jc w:val="center"/>
        <w:divId w:val="1827238138"/>
        <w:rPr>
          <w:rFonts w:ascii="黑体" w:eastAsia="黑体" w:hAnsi="黑体"/>
          <w:sz w:val="36"/>
          <w:szCs w:val="36"/>
        </w:rPr>
      </w:pPr>
      <w:r>
        <w:rPr>
          <w:rFonts w:ascii="黑体" w:eastAsia="黑体" w:hAnsi="黑体" w:hint="eastAsia"/>
          <w:sz w:val="36"/>
          <w:szCs w:val="36"/>
        </w:rPr>
        <w:t>广东省兴宁市人民法院</w:t>
      </w:r>
    </w:p>
    <w:p w:rsidR="00056E1C" w:rsidRDefault="00056E1C">
      <w:pPr>
        <w:spacing w:line="500" w:lineRule="atLeast"/>
        <w:jc w:val="center"/>
        <w:divId w:val="15886862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6E1C" w:rsidRDefault="00056E1C">
      <w:pPr>
        <w:spacing w:line="500" w:lineRule="atLeast"/>
        <w:jc w:val="right"/>
        <w:divId w:val="13337966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314</w:t>
      </w:r>
      <w:r>
        <w:rPr>
          <w:rFonts w:hint="eastAsia"/>
          <w:sz w:val="30"/>
          <w:szCs w:val="30"/>
        </w:rPr>
        <w:t>号</w:t>
      </w:r>
    </w:p>
    <w:p w:rsidR="00056E1C" w:rsidRDefault="00056E1C">
      <w:pPr>
        <w:spacing w:line="500" w:lineRule="atLeast"/>
        <w:ind w:firstLine="600"/>
        <w:divId w:val="1051610687"/>
        <w:rPr>
          <w:rFonts w:hint="eastAsia"/>
          <w:sz w:val="30"/>
          <w:szCs w:val="30"/>
        </w:rPr>
      </w:pPr>
      <w:r>
        <w:rPr>
          <w:rFonts w:hint="eastAsia"/>
          <w:sz w:val="30"/>
          <w:szCs w:val="30"/>
        </w:rPr>
        <w:t>公诉机关兴宁市人民检察院。</w:t>
      </w:r>
    </w:p>
    <w:p w:rsidR="00056E1C" w:rsidRDefault="00056E1C">
      <w:pPr>
        <w:spacing w:line="500" w:lineRule="atLeast"/>
        <w:ind w:firstLine="600"/>
        <w:divId w:val="1942060478"/>
        <w:rPr>
          <w:rFonts w:hint="eastAsia"/>
          <w:sz w:val="30"/>
          <w:szCs w:val="30"/>
        </w:rPr>
      </w:pPr>
      <w:r>
        <w:rPr>
          <w:rFonts w:hint="eastAsia"/>
          <w:sz w:val="30"/>
          <w:szCs w:val="30"/>
        </w:rPr>
        <w:t>被告人袁金朋袁某甲，男，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日出生，汉族，高中文化，中共党员，原系广东省兴宁市石膏联合开发公司副经理、兴宁市龙田石膏矿副矿长，户籍所在地：兴宁市，住兴宁市。因涉嫌挪用公款罪于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日被兴宁市人民检察院取保候审。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日经本院决定逮捕，同日由兴宁市公安局执行逮捕。</w:t>
      </w:r>
    </w:p>
    <w:p w:rsidR="00056E1C" w:rsidRDefault="00056E1C">
      <w:pPr>
        <w:spacing w:line="500" w:lineRule="atLeast"/>
        <w:ind w:firstLine="600"/>
        <w:divId w:val="325862369"/>
        <w:rPr>
          <w:rFonts w:hint="eastAsia"/>
          <w:sz w:val="30"/>
          <w:szCs w:val="30"/>
        </w:rPr>
      </w:pPr>
      <w:r>
        <w:rPr>
          <w:rFonts w:hint="eastAsia"/>
          <w:sz w:val="30"/>
          <w:szCs w:val="30"/>
        </w:rPr>
        <w:t>兴宁市人民检察院以兴检诉刑诉（</w:t>
      </w:r>
      <w:r>
        <w:rPr>
          <w:rFonts w:hint="eastAsia"/>
          <w:sz w:val="30"/>
          <w:szCs w:val="30"/>
        </w:rPr>
        <w:t>2016</w:t>
      </w:r>
      <w:r>
        <w:rPr>
          <w:rFonts w:hint="eastAsia"/>
          <w:sz w:val="30"/>
          <w:szCs w:val="30"/>
        </w:rPr>
        <w:t>）</w:t>
      </w:r>
      <w:r>
        <w:rPr>
          <w:rFonts w:hint="eastAsia"/>
          <w:sz w:val="30"/>
          <w:szCs w:val="30"/>
        </w:rPr>
        <w:t>293</w:t>
      </w:r>
      <w:r>
        <w:rPr>
          <w:rFonts w:hint="eastAsia"/>
          <w:sz w:val="30"/>
          <w:szCs w:val="30"/>
        </w:rPr>
        <w:t>号起诉书指控被告人袁金朋袁某甲犯挪用公款罪，于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日向本院提起公诉。本院受理后，依法组成合议庭，适用普通程序，公开开庭审理了本案。兴宁市人民检察院指派代理检察员陆小琴出庭支持公诉，被告人袁金朋袁某甲到庭参加了诉讼。现已审理终结。</w:t>
      </w:r>
    </w:p>
    <w:p w:rsidR="00056E1C" w:rsidRDefault="00056E1C">
      <w:pPr>
        <w:spacing w:line="500" w:lineRule="atLeast"/>
        <w:ind w:firstLine="600"/>
        <w:divId w:val="931085128"/>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月，被告人袁金朋袁某甲在任原广东省兴宁市石膏联合开发公司副经理期间，利用职务便利，多次以借出公司业务费用的名义挪用原广东省兴宁市石膏联合开发公司的公款共计人民币</w:t>
      </w:r>
      <w:r>
        <w:rPr>
          <w:rFonts w:hint="eastAsia"/>
          <w:sz w:val="30"/>
          <w:szCs w:val="30"/>
        </w:rPr>
        <w:t>1140200</w:t>
      </w:r>
      <w:r>
        <w:rPr>
          <w:rFonts w:hint="eastAsia"/>
          <w:sz w:val="30"/>
          <w:szCs w:val="30"/>
        </w:rPr>
        <w:t>元归个人使用，至今未归还。</w:t>
      </w:r>
    </w:p>
    <w:p w:rsidR="00056E1C" w:rsidRDefault="00056E1C">
      <w:pPr>
        <w:spacing w:line="500" w:lineRule="atLeast"/>
        <w:ind w:firstLine="600"/>
        <w:divId w:val="1355688111"/>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日，被告人袁金朋袁某甲主动到兴宁市人民检察院投案并退出挪用的公款人民币</w:t>
      </w:r>
      <w:r>
        <w:rPr>
          <w:rFonts w:hint="eastAsia"/>
          <w:sz w:val="30"/>
          <w:szCs w:val="30"/>
        </w:rPr>
        <w:t>20000</w:t>
      </w:r>
      <w:r>
        <w:rPr>
          <w:rFonts w:hint="eastAsia"/>
          <w:sz w:val="30"/>
          <w:szCs w:val="30"/>
        </w:rPr>
        <w:t>元至检察机关账户。</w:t>
      </w:r>
    </w:p>
    <w:p w:rsidR="00056E1C" w:rsidRDefault="00056E1C">
      <w:pPr>
        <w:spacing w:line="500" w:lineRule="atLeast"/>
        <w:ind w:firstLine="600"/>
        <w:divId w:val="1196307976"/>
        <w:rPr>
          <w:rFonts w:hint="eastAsia"/>
          <w:sz w:val="30"/>
          <w:szCs w:val="30"/>
        </w:rPr>
      </w:pPr>
      <w:r>
        <w:rPr>
          <w:rFonts w:hint="eastAsia"/>
          <w:sz w:val="30"/>
          <w:szCs w:val="30"/>
        </w:rPr>
        <w:t>上述事实，被告人袁金朋袁某甲在开庭审理过程中亦无异议，且有公诉机关提交并经法庭质证、认证的受案登记表，立案决定书，归案经过，被告人户籍证明，查询违法犯罪记录证</w:t>
      </w:r>
      <w:r>
        <w:rPr>
          <w:rFonts w:hint="eastAsia"/>
          <w:sz w:val="30"/>
          <w:szCs w:val="30"/>
        </w:rPr>
        <w:lastRenderedPageBreak/>
        <w:t>明材料，在逃人员登记、撤销表，兴宁市人民检察院通缉令，兴宁市龙田镇人民政府出具的袁金朋袁某甲的任职证明，兴宁市叶塘镇人民政府出具的证明，检察机关出具的证明，兴宁市石膏联合开发公司现金盘点情况，支出凭证，借条，梅州市人民医院疾病诊断证明书、放射科检查报告书、检验报告单，视听资料光盘</w:t>
      </w:r>
      <w:r>
        <w:rPr>
          <w:rFonts w:hint="eastAsia"/>
          <w:sz w:val="30"/>
          <w:szCs w:val="30"/>
        </w:rPr>
        <w:t>4</w:t>
      </w:r>
      <w:r>
        <w:rPr>
          <w:rFonts w:hint="eastAsia"/>
          <w:sz w:val="30"/>
          <w:szCs w:val="30"/>
        </w:rPr>
        <w:t>张，证人罗某、肖某、李某、黎某、赖某、袁某</w:t>
      </w:r>
      <w:r>
        <w:rPr>
          <w:rFonts w:hint="eastAsia"/>
          <w:sz w:val="30"/>
          <w:szCs w:val="30"/>
        </w:rPr>
        <w:t>1</w:t>
      </w:r>
      <w:r>
        <w:rPr>
          <w:rFonts w:hint="eastAsia"/>
          <w:sz w:val="30"/>
          <w:szCs w:val="30"/>
        </w:rPr>
        <w:t>、袁某</w:t>
      </w:r>
      <w:r>
        <w:rPr>
          <w:rFonts w:hint="eastAsia"/>
          <w:sz w:val="30"/>
          <w:szCs w:val="30"/>
        </w:rPr>
        <w:t>2</w:t>
      </w:r>
      <w:r>
        <w:rPr>
          <w:rFonts w:hint="eastAsia"/>
          <w:sz w:val="30"/>
          <w:szCs w:val="30"/>
        </w:rPr>
        <w:t>的证言，被告人袁金朋袁某甲的供述等证据证实，足以认定。</w:t>
      </w:r>
    </w:p>
    <w:p w:rsidR="00056E1C" w:rsidRDefault="00056E1C">
      <w:pPr>
        <w:spacing w:line="500" w:lineRule="atLeast"/>
        <w:ind w:firstLine="600"/>
        <w:divId w:val="2002004103"/>
        <w:rPr>
          <w:rFonts w:hint="eastAsia"/>
          <w:sz w:val="30"/>
          <w:szCs w:val="30"/>
        </w:rPr>
      </w:pPr>
      <w:r>
        <w:rPr>
          <w:rFonts w:hint="eastAsia"/>
          <w:sz w:val="30"/>
          <w:szCs w:val="30"/>
        </w:rPr>
        <w:t>本院认为，被告人袁金朋袁某甲无视国家法律，身为国家工作人员，利用职务上的便利，挪用公款人民币</w:t>
      </w:r>
      <w:r>
        <w:rPr>
          <w:rFonts w:hint="eastAsia"/>
          <w:sz w:val="30"/>
          <w:szCs w:val="30"/>
        </w:rPr>
        <w:t>1140200</w:t>
      </w:r>
      <w:r>
        <w:rPr>
          <w:rFonts w:hint="eastAsia"/>
          <w:sz w:val="30"/>
          <w:szCs w:val="30"/>
        </w:rPr>
        <w:t>元归个人使用超过三个月未还，数额较大，其行为已构成挪用公款罪。公诉机关指控的罪名成立，本院予以支持。被告人袁金朋袁某甲挪用公款人民币</w:t>
      </w:r>
      <w:r>
        <w:rPr>
          <w:rFonts w:hint="eastAsia"/>
          <w:sz w:val="30"/>
          <w:szCs w:val="30"/>
        </w:rPr>
        <w:t>1140200</w:t>
      </w:r>
      <w:r>
        <w:rPr>
          <w:rFonts w:hint="eastAsia"/>
          <w:sz w:val="30"/>
          <w:szCs w:val="30"/>
        </w:rPr>
        <w:t>元后，只退还了人民币</w:t>
      </w:r>
      <w:r>
        <w:rPr>
          <w:rFonts w:hint="eastAsia"/>
          <w:sz w:val="30"/>
          <w:szCs w:val="30"/>
        </w:rPr>
        <w:t>20000</w:t>
      </w:r>
      <w:r>
        <w:rPr>
          <w:rFonts w:hint="eastAsia"/>
          <w:sz w:val="30"/>
          <w:szCs w:val="30"/>
        </w:rPr>
        <w:t>元，其拒不退还的数额在一百万以上不满二百万，属情节严重。鉴于被告人袁金朋袁某甲有自首情节，在庭审中自愿认罪，有悔罪表现，依法予以减轻处罚。综上，根据本案的犯罪事实、性质、情节及对于社会的危害程度，结合被告人的悔罪表现及其身体状况，依照《中华人民共和国刑法》第三百八十四条，第六十七条第一款，以及最高人民法院、最高人民检察院《关于办理贪污贿赂刑事案件适用法律若干问题的解释》第六条第（三）项的规定，判决如下：</w:t>
      </w:r>
    </w:p>
    <w:p w:rsidR="00056E1C" w:rsidRDefault="00056E1C">
      <w:pPr>
        <w:spacing w:line="500" w:lineRule="atLeast"/>
        <w:ind w:firstLine="600"/>
        <w:divId w:val="1525707598"/>
        <w:rPr>
          <w:rFonts w:hint="eastAsia"/>
          <w:sz w:val="30"/>
          <w:szCs w:val="30"/>
        </w:rPr>
      </w:pPr>
      <w:r>
        <w:rPr>
          <w:rFonts w:hint="eastAsia"/>
          <w:sz w:val="30"/>
          <w:szCs w:val="30"/>
        </w:rPr>
        <w:t>被告人袁金朋袁某甲犯挪用公款罪，判处有期徒刑三年。</w:t>
      </w:r>
    </w:p>
    <w:p w:rsidR="00056E1C" w:rsidRDefault="00056E1C">
      <w:pPr>
        <w:spacing w:line="500" w:lineRule="atLeast"/>
        <w:ind w:firstLine="600"/>
        <w:divId w:val="3725375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w:t>
      </w:r>
    </w:p>
    <w:p w:rsidR="00056E1C" w:rsidRDefault="00056E1C">
      <w:pPr>
        <w:spacing w:line="500" w:lineRule="atLeast"/>
        <w:ind w:firstLine="600"/>
        <w:divId w:val="2066221721"/>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056E1C" w:rsidRDefault="00056E1C">
      <w:pPr>
        <w:spacing w:line="500" w:lineRule="atLeast"/>
        <w:jc w:val="right"/>
        <w:divId w:val="252708941"/>
        <w:rPr>
          <w:rFonts w:hint="eastAsia"/>
          <w:sz w:val="30"/>
          <w:szCs w:val="30"/>
        </w:rPr>
      </w:pPr>
      <w:r>
        <w:rPr>
          <w:rFonts w:hint="eastAsia"/>
          <w:sz w:val="30"/>
          <w:szCs w:val="30"/>
        </w:rPr>
        <w:t>审　判　长　　范万青</w:t>
      </w:r>
    </w:p>
    <w:p w:rsidR="00056E1C" w:rsidRDefault="00056E1C">
      <w:pPr>
        <w:spacing w:line="500" w:lineRule="atLeast"/>
        <w:jc w:val="right"/>
        <w:divId w:val="1895045326"/>
        <w:rPr>
          <w:rFonts w:hint="eastAsia"/>
          <w:sz w:val="30"/>
          <w:szCs w:val="30"/>
        </w:rPr>
      </w:pPr>
      <w:r>
        <w:rPr>
          <w:rFonts w:hint="eastAsia"/>
          <w:sz w:val="30"/>
          <w:szCs w:val="30"/>
        </w:rPr>
        <w:t>审　判　员　　潘李仪</w:t>
      </w:r>
    </w:p>
    <w:p w:rsidR="00056E1C" w:rsidRDefault="00056E1C">
      <w:pPr>
        <w:spacing w:line="500" w:lineRule="atLeast"/>
        <w:jc w:val="right"/>
        <w:divId w:val="911355063"/>
        <w:rPr>
          <w:rFonts w:hint="eastAsia"/>
          <w:sz w:val="30"/>
          <w:szCs w:val="30"/>
        </w:rPr>
      </w:pPr>
      <w:r>
        <w:rPr>
          <w:rFonts w:hint="eastAsia"/>
          <w:sz w:val="30"/>
          <w:szCs w:val="30"/>
        </w:rPr>
        <w:t>人民陪审员　　刘庆中</w:t>
      </w:r>
    </w:p>
    <w:p w:rsidR="00056E1C" w:rsidRDefault="00056E1C">
      <w:pPr>
        <w:spacing w:line="500" w:lineRule="atLeast"/>
        <w:jc w:val="right"/>
        <w:divId w:val="2029208929"/>
        <w:rPr>
          <w:rFonts w:hint="eastAsia"/>
          <w:sz w:val="30"/>
          <w:szCs w:val="30"/>
        </w:rPr>
      </w:pPr>
      <w:r>
        <w:rPr>
          <w:rFonts w:hint="eastAsia"/>
          <w:sz w:val="30"/>
          <w:szCs w:val="30"/>
        </w:rPr>
        <w:t>二〇一六年十一月二十四日</w:t>
      </w:r>
    </w:p>
    <w:p w:rsidR="00056E1C" w:rsidRDefault="00056E1C">
      <w:pPr>
        <w:spacing w:line="500" w:lineRule="atLeast"/>
        <w:jc w:val="right"/>
        <w:divId w:val="1075664126"/>
        <w:rPr>
          <w:rFonts w:hint="eastAsia"/>
          <w:sz w:val="30"/>
          <w:szCs w:val="30"/>
        </w:rPr>
      </w:pPr>
      <w:r>
        <w:rPr>
          <w:rFonts w:hint="eastAsia"/>
          <w:sz w:val="30"/>
          <w:szCs w:val="30"/>
        </w:rPr>
        <w:t>书　记　员　　韩　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6E1C" w:rsidRDefault="00056E1C" w:rsidP="00056E1C">
      <w:pPr>
        <w:rPr>
          <w:rFonts w:hint="eastAsia"/>
        </w:rPr>
      </w:pPr>
      <w:r>
        <w:separator/>
      </w:r>
    </w:p>
  </w:endnote>
  <w:endnote w:type="continuationSeparator" w:id="0">
    <w:p w:rsidR="00056E1C" w:rsidRDefault="00056E1C" w:rsidP="00056E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6E1C" w:rsidRDefault="00056E1C" w:rsidP="00056E1C">
      <w:pPr>
        <w:rPr>
          <w:rFonts w:hint="eastAsia"/>
        </w:rPr>
      </w:pPr>
      <w:r>
        <w:separator/>
      </w:r>
    </w:p>
  </w:footnote>
  <w:footnote w:type="continuationSeparator" w:id="0">
    <w:p w:rsidR="00056E1C" w:rsidRDefault="00056E1C" w:rsidP="00056E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E1C"/>
    <w:rsid w:val="00056E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6E1C"/>
    <w:pPr>
      <w:tabs>
        <w:tab w:val="center" w:pos="4153"/>
        <w:tab w:val="right" w:pos="8306"/>
      </w:tabs>
      <w:snapToGrid w:val="0"/>
      <w:jc w:val="center"/>
    </w:pPr>
    <w:rPr>
      <w:sz w:val="18"/>
      <w:szCs w:val="18"/>
    </w:rPr>
  </w:style>
  <w:style w:type="character" w:customStyle="1" w:styleId="a4">
    <w:name w:val="页眉 字符"/>
    <w:basedOn w:val="a0"/>
    <w:link w:val="a3"/>
    <w:uiPriority w:val="99"/>
    <w:rsid w:val="00056E1C"/>
    <w:rPr>
      <w:rFonts w:ascii="宋体" w:eastAsia="宋体" w:hAnsi="宋体" w:cs="宋体"/>
      <w:sz w:val="18"/>
      <w:szCs w:val="18"/>
    </w:rPr>
  </w:style>
  <w:style w:type="paragraph" w:styleId="a5">
    <w:name w:val="footer"/>
    <w:basedOn w:val="a"/>
    <w:link w:val="a6"/>
    <w:uiPriority w:val="99"/>
    <w:unhideWhenUsed/>
    <w:rsid w:val="00056E1C"/>
    <w:pPr>
      <w:tabs>
        <w:tab w:val="center" w:pos="4153"/>
        <w:tab w:val="right" w:pos="8306"/>
      </w:tabs>
      <w:snapToGrid w:val="0"/>
    </w:pPr>
    <w:rPr>
      <w:sz w:val="18"/>
      <w:szCs w:val="18"/>
    </w:rPr>
  </w:style>
  <w:style w:type="character" w:customStyle="1" w:styleId="a6">
    <w:name w:val="页脚 字符"/>
    <w:basedOn w:val="a0"/>
    <w:link w:val="a5"/>
    <w:uiPriority w:val="99"/>
    <w:rsid w:val="00056E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8941">
      <w:marLeft w:val="0"/>
      <w:marRight w:val="720"/>
      <w:marTop w:val="10"/>
      <w:marBottom w:val="10"/>
      <w:divBdr>
        <w:top w:val="none" w:sz="0" w:space="0" w:color="auto"/>
        <w:left w:val="none" w:sz="0" w:space="0" w:color="auto"/>
        <w:bottom w:val="none" w:sz="0" w:space="0" w:color="auto"/>
        <w:right w:val="none" w:sz="0" w:space="0" w:color="auto"/>
      </w:divBdr>
    </w:div>
    <w:div w:id="325862369">
      <w:marLeft w:val="0"/>
      <w:marRight w:val="0"/>
      <w:marTop w:val="10"/>
      <w:marBottom w:val="10"/>
      <w:divBdr>
        <w:top w:val="none" w:sz="0" w:space="0" w:color="auto"/>
        <w:left w:val="none" w:sz="0" w:space="0" w:color="auto"/>
        <w:bottom w:val="none" w:sz="0" w:space="0" w:color="auto"/>
        <w:right w:val="none" w:sz="0" w:space="0" w:color="auto"/>
      </w:divBdr>
    </w:div>
    <w:div w:id="372537596">
      <w:marLeft w:val="0"/>
      <w:marRight w:val="0"/>
      <w:marTop w:val="10"/>
      <w:marBottom w:val="10"/>
      <w:divBdr>
        <w:top w:val="none" w:sz="0" w:space="0" w:color="auto"/>
        <w:left w:val="none" w:sz="0" w:space="0" w:color="auto"/>
        <w:bottom w:val="none" w:sz="0" w:space="0" w:color="auto"/>
        <w:right w:val="none" w:sz="0" w:space="0" w:color="auto"/>
      </w:divBdr>
    </w:div>
    <w:div w:id="911355063">
      <w:marLeft w:val="0"/>
      <w:marRight w:val="720"/>
      <w:marTop w:val="10"/>
      <w:marBottom w:val="10"/>
      <w:divBdr>
        <w:top w:val="none" w:sz="0" w:space="0" w:color="auto"/>
        <w:left w:val="none" w:sz="0" w:space="0" w:color="auto"/>
        <w:bottom w:val="none" w:sz="0" w:space="0" w:color="auto"/>
        <w:right w:val="none" w:sz="0" w:space="0" w:color="auto"/>
      </w:divBdr>
    </w:div>
    <w:div w:id="931085128">
      <w:marLeft w:val="0"/>
      <w:marRight w:val="0"/>
      <w:marTop w:val="10"/>
      <w:marBottom w:val="10"/>
      <w:divBdr>
        <w:top w:val="none" w:sz="0" w:space="0" w:color="auto"/>
        <w:left w:val="none" w:sz="0" w:space="0" w:color="auto"/>
        <w:bottom w:val="none" w:sz="0" w:space="0" w:color="auto"/>
        <w:right w:val="none" w:sz="0" w:space="0" w:color="auto"/>
      </w:divBdr>
    </w:div>
    <w:div w:id="1051610687">
      <w:marLeft w:val="0"/>
      <w:marRight w:val="0"/>
      <w:marTop w:val="10"/>
      <w:marBottom w:val="10"/>
      <w:divBdr>
        <w:top w:val="none" w:sz="0" w:space="0" w:color="auto"/>
        <w:left w:val="none" w:sz="0" w:space="0" w:color="auto"/>
        <w:bottom w:val="none" w:sz="0" w:space="0" w:color="auto"/>
        <w:right w:val="none" w:sz="0" w:space="0" w:color="auto"/>
      </w:divBdr>
    </w:div>
    <w:div w:id="1075664126">
      <w:marLeft w:val="0"/>
      <w:marRight w:val="720"/>
      <w:marTop w:val="10"/>
      <w:marBottom w:val="10"/>
      <w:divBdr>
        <w:top w:val="none" w:sz="0" w:space="0" w:color="auto"/>
        <w:left w:val="none" w:sz="0" w:space="0" w:color="auto"/>
        <w:bottom w:val="none" w:sz="0" w:space="0" w:color="auto"/>
        <w:right w:val="none" w:sz="0" w:space="0" w:color="auto"/>
      </w:divBdr>
    </w:div>
    <w:div w:id="1196307976">
      <w:marLeft w:val="0"/>
      <w:marRight w:val="0"/>
      <w:marTop w:val="10"/>
      <w:marBottom w:val="10"/>
      <w:divBdr>
        <w:top w:val="none" w:sz="0" w:space="0" w:color="auto"/>
        <w:left w:val="none" w:sz="0" w:space="0" w:color="auto"/>
        <w:bottom w:val="none" w:sz="0" w:space="0" w:color="auto"/>
        <w:right w:val="none" w:sz="0" w:space="0" w:color="auto"/>
      </w:divBdr>
    </w:div>
    <w:div w:id="1333796624">
      <w:marLeft w:val="0"/>
      <w:marRight w:val="0"/>
      <w:marTop w:val="10"/>
      <w:marBottom w:val="10"/>
      <w:divBdr>
        <w:top w:val="none" w:sz="0" w:space="0" w:color="auto"/>
        <w:left w:val="none" w:sz="0" w:space="0" w:color="auto"/>
        <w:bottom w:val="none" w:sz="0" w:space="0" w:color="auto"/>
        <w:right w:val="none" w:sz="0" w:space="0" w:color="auto"/>
      </w:divBdr>
    </w:div>
    <w:div w:id="1355688111">
      <w:marLeft w:val="0"/>
      <w:marRight w:val="0"/>
      <w:marTop w:val="10"/>
      <w:marBottom w:val="10"/>
      <w:divBdr>
        <w:top w:val="none" w:sz="0" w:space="0" w:color="auto"/>
        <w:left w:val="none" w:sz="0" w:space="0" w:color="auto"/>
        <w:bottom w:val="none" w:sz="0" w:space="0" w:color="auto"/>
        <w:right w:val="none" w:sz="0" w:space="0" w:color="auto"/>
      </w:divBdr>
    </w:div>
    <w:div w:id="1525707598">
      <w:marLeft w:val="0"/>
      <w:marRight w:val="0"/>
      <w:marTop w:val="10"/>
      <w:marBottom w:val="10"/>
      <w:divBdr>
        <w:top w:val="none" w:sz="0" w:space="0" w:color="auto"/>
        <w:left w:val="none" w:sz="0" w:space="0" w:color="auto"/>
        <w:bottom w:val="none" w:sz="0" w:space="0" w:color="auto"/>
        <w:right w:val="none" w:sz="0" w:space="0" w:color="auto"/>
      </w:divBdr>
    </w:div>
    <w:div w:id="1588686207">
      <w:marLeft w:val="0"/>
      <w:marRight w:val="0"/>
      <w:marTop w:val="10"/>
      <w:marBottom w:val="10"/>
      <w:divBdr>
        <w:top w:val="none" w:sz="0" w:space="0" w:color="auto"/>
        <w:left w:val="none" w:sz="0" w:space="0" w:color="auto"/>
        <w:bottom w:val="none" w:sz="0" w:space="0" w:color="auto"/>
        <w:right w:val="none" w:sz="0" w:space="0" w:color="auto"/>
      </w:divBdr>
    </w:div>
    <w:div w:id="1827238138">
      <w:marLeft w:val="0"/>
      <w:marRight w:val="0"/>
      <w:marTop w:val="10"/>
      <w:marBottom w:val="10"/>
      <w:divBdr>
        <w:top w:val="none" w:sz="0" w:space="0" w:color="auto"/>
        <w:left w:val="none" w:sz="0" w:space="0" w:color="auto"/>
        <w:bottom w:val="none" w:sz="0" w:space="0" w:color="auto"/>
        <w:right w:val="none" w:sz="0" w:space="0" w:color="auto"/>
      </w:divBdr>
    </w:div>
    <w:div w:id="1895045326">
      <w:marLeft w:val="0"/>
      <w:marRight w:val="720"/>
      <w:marTop w:val="10"/>
      <w:marBottom w:val="10"/>
      <w:divBdr>
        <w:top w:val="none" w:sz="0" w:space="0" w:color="auto"/>
        <w:left w:val="none" w:sz="0" w:space="0" w:color="auto"/>
        <w:bottom w:val="none" w:sz="0" w:space="0" w:color="auto"/>
        <w:right w:val="none" w:sz="0" w:space="0" w:color="auto"/>
      </w:divBdr>
    </w:div>
    <w:div w:id="1942060478">
      <w:marLeft w:val="0"/>
      <w:marRight w:val="0"/>
      <w:marTop w:val="10"/>
      <w:marBottom w:val="10"/>
      <w:divBdr>
        <w:top w:val="none" w:sz="0" w:space="0" w:color="auto"/>
        <w:left w:val="none" w:sz="0" w:space="0" w:color="auto"/>
        <w:bottom w:val="none" w:sz="0" w:space="0" w:color="auto"/>
        <w:right w:val="none" w:sz="0" w:space="0" w:color="auto"/>
      </w:divBdr>
    </w:div>
    <w:div w:id="2002004103">
      <w:marLeft w:val="0"/>
      <w:marRight w:val="0"/>
      <w:marTop w:val="10"/>
      <w:marBottom w:val="10"/>
      <w:divBdr>
        <w:top w:val="none" w:sz="0" w:space="0" w:color="auto"/>
        <w:left w:val="none" w:sz="0" w:space="0" w:color="auto"/>
        <w:bottom w:val="none" w:sz="0" w:space="0" w:color="auto"/>
        <w:right w:val="none" w:sz="0" w:space="0" w:color="auto"/>
      </w:divBdr>
    </w:div>
    <w:div w:id="2029208929">
      <w:marLeft w:val="0"/>
      <w:marRight w:val="720"/>
      <w:marTop w:val="10"/>
      <w:marBottom w:val="10"/>
      <w:divBdr>
        <w:top w:val="none" w:sz="0" w:space="0" w:color="auto"/>
        <w:left w:val="none" w:sz="0" w:space="0" w:color="auto"/>
        <w:bottom w:val="none" w:sz="0" w:space="0" w:color="auto"/>
        <w:right w:val="none" w:sz="0" w:space="0" w:color="auto"/>
      </w:divBdr>
    </w:div>
    <w:div w:id="20662217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