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31A9" w:rsidRDefault="006A31A9">
      <w:pPr>
        <w:spacing w:line="500" w:lineRule="atLeast"/>
        <w:jc w:val="center"/>
        <w:divId w:val="391463117"/>
        <w:rPr>
          <w:rFonts w:ascii="黑体" w:eastAsia="黑体" w:hAnsi="黑体"/>
          <w:sz w:val="36"/>
          <w:szCs w:val="36"/>
        </w:rPr>
      </w:pPr>
      <w:r>
        <w:rPr>
          <w:rFonts w:ascii="黑体" w:eastAsia="黑体" w:hAnsi="黑体" w:hint="eastAsia"/>
          <w:sz w:val="36"/>
          <w:szCs w:val="36"/>
        </w:rPr>
        <w:t>广东省蕉岭县人民法院</w:t>
      </w:r>
    </w:p>
    <w:p w:rsidR="006A31A9" w:rsidRDefault="006A31A9">
      <w:pPr>
        <w:spacing w:line="500" w:lineRule="atLeast"/>
        <w:jc w:val="center"/>
        <w:divId w:val="3048943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A31A9" w:rsidRDefault="006A31A9">
      <w:pPr>
        <w:spacing w:line="500" w:lineRule="atLeast"/>
        <w:jc w:val="right"/>
        <w:divId w:val="1015376796"/>
        <w:rPr>
          <w:rFonts w:hint="eastAsia"/>
          <w:sz w:val="30"/>
          <w:szCs w:val="30"/>
        </w:rPr>
      </w:pPr>
      <w:r>
        <w:rPr>
          <w:rFonts w:hint="eastAsia"/>
          <w:sz w:val="30"/>
          <w:szCs w:val="30"/>
        </w:rPr>
        <w:t>（</w:t>
      </w:r>
      <w:r>
        <w:rPr>
          <w:rFonts w:hint="eastAsia"/>
          <w:sz w:val="30"/>
          <w:szCs w:val="30"/>
        </w:rPr>
        <w:t>2015</w:t>
      </w:r>
      <w:r>
        <w:rPr>
          <w:rFonts w:hint="eastAsia"/>
          <w:sz w:val="30"/>
          <w:szCs w:val="30"/>
        </w:rPr>
        <w:t>）梅蕉法刑初字第</w:t>
      </w:r>
      <w:r>
        <w:rPr>
          <w:rFonts w:hint="eastAsia"/>
          <w:sz w:val="30"/>
          <w:szCs w:val="30"/>
        </w:rPr>
        <w:t>76</w:t>
      </w:r>
      <w:r>
        <w:rPr>
          <w:rFonts w:hint="eastAsia"/>
          <w:sz w:val="30"/>
          <w:szCs w:val="30"/>
        </w:rPr>
        <w:t>号</w:t>
      </w:r>
    </w:p>
    <w:p w:rsidR="006A31A9" w:rsidRDefault="006A31A9">
      <w:pPr>
        <w:spacing w:line="500" w:lineRule="atLeast"/>
        <w:ind w:firstLine="600"/>
        <w:divId w:val="1518499212"/>
        <w:rPr>
          <w:rFonts w:hint="eastAsia"/>
          <w:sz w:val="30"/>
          <w:szCs w:val="30"/>
        </w:rPr>
      </w:pPr>
      <w:r>
        <w:rPr>
          <w:rFonts w:hint="eastAsia"/>
          <w:sz w:val="30"/>
          <w:szCs w:val="30"/>
        </w:rPr>
        <w:t>公诉机关蕉岭县人民检察院。</w:t>
      </w:r>
    </w:p>
    <w:p w:rsidR="006A31A9" w:rsidRDefault="006A31A9">
      <w:pPr>
        <w:spacing w:line="500" w:lineRule="atLeast"/>
        <w:ind w:firstLine="600"/>
        <w:divId w:val="388311420"/>
        <w:rPr>
          <w:rFonts w:hint="eastAsia"/>
          <w:sz w:val="30"/>
          <w:szCs w:val="30"/>
        </w:rPr>
      </w:pPr>
      <w:r>
        <w:rPr>
          <w:rFonts w:hint="eastAsia"/>
          <w:sz w:val="30"/>
          <w:szCs w:val="30"/>
        </w:rPr>
        <w:t>被告人刘某某，男，汉族，广东省蕉岭县，大专文化，中共党员，现任蕉岭县发展和改革局副局长，无前科，因涉嫌受贿罪于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日被蕉岭县人民检察院取保候审。</w:t>
      </w:r>
    </w:p>
    <w:p w:rsidR="006A31A9" w:rsidRDefault="006A31A9">
      <w:pPr>
        <w:spacing w:line="500" w:lineRule="atLeast"/>
        <w:ind w:firstLine="600"/>
        <w:divId w:val="276374347"/>
        <w:rPr>
          <w:rFonts w:hint="eastAsia"/>
          <w:sz w:val="30"/>
          <w:szCs w:val="30"/>
        </w:rPr>
      </w:pPr>
      <w:r>
        <w:rPr>
          <w:rFonts w:hint="eastAsia"/>
          <w:sz w:val="30"/>
          <w:szCs w:val="30"/>
        </w:rPr>
        <w:t>蕉岭县人民检察院以蕉检公诉刑诉（</w:t>
      </w:r>
      <w:r>
        <w:rPr>
          <w:rFonts w:hint="eastAsia"/>
          <w:sz w:val="30"/>
          <w:szCs w:val="30"/>
        </w:rPr>
        <w:t>2015</w:t>
      </w:r>
      <w:r>
        <w:rPr>
          <w:rFonts w:hint="eastAsia"/>
          <w:sz w:val="30"/>
          <w:szCs w:val="30"/>
        </w:rPr>
        <w:t>）</w:t>
      </w:r>
      <w:r>
        <w:rPr>
          <w:rFonts w:hint="eastAsia"/>
          <w:sz w:val="30"/>
          <w:szCs w:val="30"/>
        </w:rPr>
        <w:t>83</w:t>
      </w:r>
      <w:r>
        <w:rPr>
          <w:rFonts w:hint="eastAsia"/>
          <w:sz w:val="30"/>
          <w:szCs w:val="30"/>
        </w:rPr>
        <w:t>号起诉书指控被告人刘某某犯受贿罪，于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日向本院提起公诉。本院依法适用简易程序，组成合议庭，公开开庭审理了本案。蕉岭县人民检察院检察员李红梅出庭支持公诉，被告人刘某某到庭参加了诉讼。现已审理终结。</w:t>
      </w:r>
    </w:p>
    <w:p w:rsidR="006A31A9" w:rsidRDefault="006A31A9">
      <w:pPr>
        <w:spacing w:line="500" w:lineRule="atLeast"/>
        <w:ind w:firstLine="600"/>
        <w:divId w:val="1962416350"/>
        <w:rPr>
          <w:rFonts w:hint="eastAsia"/>
          <w:sz w:val="30"/>
          <w:szCs w:val="30"/>
        </w:rPr>
      </w:pPr>
      <w:r>
        <w:rPr>
          <w:rFonts w:hint="eastAsia"/>
          <w:sz w:val="30"/>
          <w:szCs w:val="30"/>
        </w:rPr>
        <w:t>公诉机关指控：蕉岭县农业局与蕉岭县发展和改革局（以下简称“县发改局”）共同负责农村沼气项目中央预算内投资项目的申报，县发改局由综合股具体负责该项目的申报工作。</w:t>
      </w:r>
      <w:r>
        <w:rPr>
          <w:rFonts w:hint="eastAsia"/>
          <w:sz w:val="30"/>
          <w:szCs w:val="30"/>
        </w:rPr>
        <w:t>2009</w:t>
      </w:r>
      <w:r>
        <w:rPr>
          <w:rFonts w:hint="eastAsia"/>
          <w:sz w:val="30"/>
          <w:szCs w:val="30"/>
        </w:rPr>
        <w:t>年起，被告人刘某某作为县发改局综合股股长，通过帮助王某胜的北礤种猪场完成项目申报材料，多次与上级部门沟通、跟进等形式关照其申报大型沼气建设中央预算内投资项目。该项目经广东省发展和改革委员会、广东省农业厅审批通过并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月分别下达文件至县发改局和蕉岭县农业局，获得中央预算内投资</w:t>
      </w:r>
      <w:r>
        <w:rPr>
          <w:rFonts w:hint="eastAsia"/>
          <w:sz w:val="30"/>
          <w:szCs w:val="30"/>
        </w:rPr>
        <w:t>100</w:t>
      </w:r>
      <w:r>
        <w:rPr>
          <w:rFonts w:hint="eastAsia"/>
          <w:sz w:val="30"/>
          <w:szCs w:val="30"/>
        </w:rPr>
        <w:t>万元、省级配套投资</w:t>
      </w:r>
      <w:r>
        <w:rPr>
          <w:rFonts w:hint="eastAsia"/>
          <w:sz w:val="30"/>
          <w:szCs w:val="30"/>
        </w:rPr>
        <w:t>40</w:t>
      </w:r>
      <w:r>
        <w:rPr>
          <w:rFonts w:hint="eastAsia"/>
          <w:sz w:val="30"/>
          <w:szCs w:val="30"/>
        </w:rPr>
        <w:t>万元及县级配套投资</w:t>
      </w:r>
      <w:r>
        <w:rPr>
          <w:rFonts w:hint="eastAsia"/>
          <w:sz w:val="30"/>
          <w:szCs w:val="30"/>
        </w:rPr>
        <w:t>60</w:t>
      </w:r>
      <w:r>
        <w:rPr>
          <w:rFonts w:hint="eastAsia"/>
          <w:sz w:val="30"/>
          <w:szCs w:val="30"/>
        </w:rPr>
        <w:t>万元，合计</w:t>
      </w:r>
      <w:r>
        <w:rPr>
          <w:rFonts w:hint="eastAsia"/>
          <w:sz w:val="30"/>
          <w:szCs w:val="30"/>
        </w:rPr>
        <w:t>200</w:t>
      </w:r>
      <w:r>
        <w:rPr>
          <w:rFonts w:hint="eastAsia"/>
          <w:sz w:val="30"/>
          <w:szCs w:val="30"/>
        </w:rPr>
        <w:t>万元；并于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月分六笔拨付到位。为感谢刘某某在其申请大型沼气建设中央预算内投资项目过程中的关照，</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月份左右的一天晚上，王某胜在蕉岭县蕉城镇</w:t>
      </w:r>
      <w:r>
        <w:rPr>
          <w:rFonts w:hint="eastAsia"/>
          <w:sz w:val="30"/>
          <w:szCs w:val="30"/>
        </w:rPr>
        <w:t>205</w:t>
      </w:r>
      <w:r>
        <w:rPr>
          <w:rFonts w:hint="eastAsia"/>
          <w:sz w:val="30"/>
          <w:szCs w:val="30"/>
        </w:rPr>
        <w:t>国道的农业银行侧送给刘某某人民币</w:t>
      </w:r>
      <w:r>
        <w:rPr>
          <w:rFonts w:hint="eastAsia"/>
          <w:sz w:val="30"/>
          <w:szCs w:val="30"/>
        </w:rPr>
        <w:t>20000</w:t>
      </w:r>
      <w:r>
        <w:rPr>
          <w:rFonts w:hint="eastAsia"/>
          <w:sz w:val="30"/>
          <w:szCs w:val="30"/>
        </w:rPr>
        <w:t>元，刘某某收受了该笔款项，用于个人日常消费开支。</w:t>
      </w:r>
    </w:p>
    <w:p w:rsidR="006A31A9" w:rsidRDefault="006A31A9">
      <w:pPr>
        <w:spacing w:line="500" w:lineRule="atLeast"/>
        <w:ind w:firstLine="600"/>
        <w:divId w:val="107479450"/>
        <w:rPr>
          <w:rFonts w:hint="eastAsia"/>
          <w:sz w:val="30"/>
          <w:szCs w:val="30"/>
        </w:rPr>
      </w:pPr>
      <w:r>
        <w:rPr>
          <w:rFonts w:hint="eastAsia"/>
          <w:sz w:val="30"/>
          <w:szCs w:val="30"/>
        </w:rPr>
        <w:lastRenderedPageBreak/>
        <w:t>另查明，被告人刘某某于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日将涉案的</w:t>
      </w:r>
      <w:r>
        <w:rPr>
          <w:rFonts w:hint="eastAsia"/>
          <w:sz w:val="30"/>
          <w:szCs w:val="30"/>
        </w:rPr>
        <w:t>20000</w:t>
      </w:r>
      <w:r>
        <w:rPr>
          <w:rFonts w:hint="eastAsia"/>
          <w:sz w:val="30"/>
          <w:szCs w:val="30"/>
        </w:rPr>
        <w:t>元退到蕉岭县人民检察院。</w:t>
      </w:r>
    </w:p>
    <w:p w:rsidR="006A31A9" w:rsidRDefault="006A31A9">
      <w:pPr>
        <w:spacing w:line="500" w:lineRule="atLeast"/>
        <w:ind w:firstLine="600"/>
        <w:divId w:val="2046132032"/>
        <w:rPr>
          <w:rFonts w:hint="eastAsia"/>
          <w:sz w:val="30"/>
          <w:szCs w:val="30"/>
        </w:rPr>
      </w:pPr>
      <w:r>
        <w:rPr>
          <w:rFonts w:hint="eastAsia"/>
          <w:sz w:val="30"/>
          <w:szCs w:val="30"/>
        </w:rPr>
        <w:t>上述事实，被告人刘某某在开庭审理过程中亦无异议，并有书证被告人刘某某个人信息表，蕉岭县发改局主要职责内设机构和人员编制规定，蕉岭县委组织部关于干部职务任免的通知，沼气建设中央预算内专项资金申请、批复、发放材料，蕉岭县三圳福生养猪场生猪标准化规模养殖改扩建项目中央补助资金申报材料，谢某洪的自书材料，扣押决定书、扣押清单、财务收据；证人王某胜，谢某洪，陈某华，郭某群，谢某锦的证言等证据证实，足以认定。</w:t>
      </w:r>
    </w:p>
    <w:p w:rsidR="006A31A9" w:rsidRDefault="006A31A9">
      <w:pPr>
        <w:spacing w:line="500" w:lineRule="atLeast"/>
        <w:ind w:firstLine="600"/>
        <w:divId w:val="2062289641"/>
        <w:rPr>
          <w:rFonts w:hint="eastAsia"/>
          <w:sz w:val="30"/>
          <w:szCs w:val="30"/>
        </w:rPr>
      </w:pPr>
      <w:r>
        <w:rPr>
          <w:rFonts w:hint="eastAsia"/>
          <w:sz w:val="30"/>
          <w:szCs w:val="30"/>
        </w:rPr>
        <w:t>本院认为，被告人刘某某身为国家工作人员，利用职务上的便利，为他人谋取利益，非法收受他人送款，其行为已构成了受贿罪。控方指控的罪名成立，本院予以支持。被告人刘某某在未被采取强制措施时，主动投案，并如实供述了其犯罪事实，属自首，依法予以减轻处罚；其归案后积极退清全部赃款，酌情予以从轻处罚。根据本案的犯罪事实、性质、情节和对于社会的危害程度，案经本院审判委员会讨论决定，依照《中华人民共和国刑法》第三百八十五条第一款，第三百八十六条，第三百八十三条第一款第（三）项，第六十七条第一款，第三十七条，第六十四条之规定，判决如下：</w:t>
      </w:r>
    </w:p>
    <w:p w:rsidR="006A31A9" w:rsidRDefault="006A31A9">
      <w:pPr>
        <w:spacing w:line="500" w:lineRule="atLeast"/>
        <w:ind w:firstLine="600"/>
        <w:divId w:val="290944338"/>
        <w:rPr>
          <w:rFonts w:hint="eastAsia"/>
          <w:sz w:val="30"/>
          <w:szCs w:val="30"/>
        </w:rPr>
      </w:pPr>
      <w:r>
        <w:rPr>
          <w:rFonts w:hint="eastAsia"/>
          <w:sz w:val="30"/>
          <w:szCs w:val="30"/>
        </w:rPr>
        <w:t>一、被告人刘某某犯受贿罪，免予刑事处罚。</w:t>
      </w:r>
    </w:p>
    <w:p w:rsidR="006A31A9" w:rsidRDefault="006A31A9">
      <w:pPr>
        <w:spacing w:line="500" w:lineRule="atLeast"/>
        <w:ind w:firstLine="600"/>
        <w:divId w:val="2113625407"/>
        <w:rPr>
          <w:rFonts w:hint="eastAsia"/>
          <w:sz w:val="30"/>
          <w:szCs w:val="30"/>
        </w:rPr>
      </w:pPr>
      <w:r>
        <w:rPr>
          <w:rFonts w:hint="eastAsia"/>
          <w:sz w:val="30"/>
          <w:szCs w:val="30"/>
        </w:rPr>
        <w:t>二、犯罪所得人民币</w:t>
      </w:r>
      <w:r>
        <w:rPr>
          <w:rFonts w:hint="eastAsia"/>
          <w:sz w:val="30"/>
          <w:szCs w:val="30"/>
        </w:rPr>
        <w:t>20000</w:t>
      </w:r>
      <w:r>
        <w:rPr>
          <w:rFonts w:hint="eastAsia"/>
          <w:sz w:val="30"/>
          <w:szCs w:val="30"/>
        </w:rPr>
        <w:t>元予以没收，由侦查机关上缴国库。</w:t>
      </w:r>
    </w:p>
    <w:p w:rsidR="006A31A9" w:rsidRDefault="006A31A9">
      <w:pPr>
        <w:spacing w:line="500" w:lineRule="atLeast"/>
        <w:ind w:firstLine="600"/>
        <w:divId w:val="1271864065"/>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rsidR="006A31A9" w:rsidRDefault="006A31A9">
      <w:pPr>
        <w:spacing w:line="500" w:lineRule="atLeast"/>
        <w:jc w:val="right"/>
        <w:divId w:val="323944783"/>
        <w:rPr>
          <w:rFonts w:hint="eastAsia"/>
          <w:sz w:val="30"/>
          <w:szCs w:val="30"/>
        </w:rPr>
      </w:pPr>
      <w:r>
        <w:rPr>
          <w:rFonts w:hint="eastAsia"/>
          <w:sz w:val="30"/>
          <w:szCs w:val="30"/>
        </w:rPr>
        <w:t>审　判　长　　赖国雄</w:t>
      </w:r>
    </w:p>
    <w:p w:rsidR="006A31A9" w:rsidRDefault="006A31A9">
      <w:pPr>
        <w:spacing w:line="500" w:lineRule="atLeast"/>
        <w:jc w:val="right"/>
        <w:divId w:val="726301216"/>
        <w:rPr>
          <w:rFonts w:hint="eastAsia"/>
          <w:sz w:val="30"/>
          <w:szCs w:val="30"/>
        </w:rPr>
      </w:pPr>
      <w:r>
        <w:rPr>
          <w:rFonts w:hint="eastAsia"/>
          <w:sz w:val="30"/>
          <w:szCs w:val="30"/>
        </w:rPr>
        <w:t>审　判　员　　黄佳佳</w:t>
      </w:r>
    </w:p>
    <w:p w:rsidR="006A31A9" w:rsidRDefault="006A31A9">
      <w:pPr>
        <w:spacing w:line="500" w:lineRule="atLeast"/>
        <w:jc w:val="right"/>
        <w:divId w:val="1172914077"/>
        <w:rPr>
          <w:rFonts w:hint="eastAsia"/>
          <w:sz w:val="30"/>
          <w:szCs w:val="30"/>
        </w:rPr>
      </w:pPr>
      <w:r>
        <w:rPr>
          <w:rFonts w:hint="eastAsia"/>
          <w:sz w:val="30"/>
          <w:szCs w:val="30"/>
        </w:rPr>
        <w:t>人民陪审员　　徐碧峰</w:t>
      </w:r>
    </w:p>
    <w:p w:rsidR="006A31A9" w:rsidRDefault="006A31A9">
      <w:pPr>
        <w:spacing w:line="500" w:lineRule="atLeast"/>
        <w:jc w:val="right"/>
        <w:divId w:val="190069593"/>
        <w:rPr>
          <w:rFonts w:hint="eastAsia"/>
          <w:sz w:val="30"/>
          <w:szCs w:val="30"/>
        </w:rPr>
      </w:pPr>
      <w:r>
        <w:rPr>
          <w:rFonts w:hint="eastAsia"/>
          <w:sz w:val="30"/>
          <w:szCs w:val="30"/>
        </w:rPr>
        <w:t>二〇一五年九月二十五日</w:t>
      </w:r>
    </w:p>
    <w:p w:rsidR="006A31A9" w:rsidRDefault="006A31A9">
      <w:pPr>
        <w:spacing w:line="500" w:lineRule="atLeast"/>
        <w:jc w:val="right"/>
        <w:divId w:val="1850102081"/>
        <w:rPr>
          <w:rFonts w:hint="eastAsia"/>
          <w:sz w:val="30"/>
          <w:szCs w:val="30"/>
        </w:rPr>
      </w:pPr>
      <w:r>
        <w:rPr>
          <w:rFonts w:hint="eastAsia"/>
          <w:sz w:val="30"/>
          <w:szCs w:val="30"/>
        </w:rPr>
        <w:t>书　记　员　　李凌云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31A9" w:rsidRDefault="006A31A9" w:rsidP="006A31A9">
      <w:pPr>
        <w:rPr>
          <w:rFonts w:hint="eastAsia"/>
        </w:rPr>
      </w:pPr>
      <w:r>
        <w:separator/>
      </w:r>
    </w:p>
  </w:endnote>
  <w:endnote w:type="continuationSeparator" w:id="0">
    <w:p w:rsidR="006A31A9" w:rsidRDefault="006A31A9" w:rsidP="006A31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31A9" w:rsidRDefault="006A31A9" w:rsidP="006A31A9">
      <w:pPr>
        <w:rPr>
          <w:rFonts w:hint="eastAsia"/>
        </w:rPr>
      </w:pPr>
      <w:r>
        <w:separator/>
      </w:r>
    </w:p>
  </w:footnote>
  <w:footnote w:type="continuationSeparator" w:id="0">
    <w:p w:rsidR="006A31A9" w:rsidRDefault="006A31A9" w:rsidP="006A31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31A9"/>
    <w:rsid w:val="006A31A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A31A9"/>
    <w:pPr>
      <w:tabs>
        <w:tab w:val="center" w:pos="4153"/>
        <w:tab w:val="right" w:pos="8306"/>
      </w:tabs>
      <w:snapToGrid w:val="0"/>
      <w:jc w:val="center"/>
    </w:pPr>
    <w:rPr>
      <w:sz w:val="18"/>
      <w:szCs w:val="18"/>
    </w:rPr>
  </w:style>
  <w:style w:type="character" w:customStyle="1" w:styleId="a4">
    <w:name w:val="页眉 字符"/>
    <w:basedOn w:val="a0"/>
    <w:link w:val="a3"/>
    <w:uiPriority w:val="99"/>
    <w:rsid w:val="006A31A9"/>
    <w:rPr>
      <w:rFonts w:ascii="宋体" w:eastAsia="宋体" w:hAnsi="宋体" w:cs="宋体"/>
      <w:sz w:val="18"/>
      <w:szCs w:val="18"/>
    </w:rPr>
  </w:style>
  <w:style w:type="paragraph" w:styleId="a5">
    <w:name w:val="footer"/>
    <w:basedOn w:val="a"/>
    <w:link w:val="a6"/>
    <w:uiPriority w:val="99"/>
    <w:unhideWhenUsed/>
    <w:rsid w:val="006A31A9"/>
    <w:pPr>
      <w:tabs>
        <w:tab w:val="center" w:pos="4153"/>
        <w:tab w:val="right" w:pos="8306"/>
      </w:tabs>
      <w:snapToGrid w:val="0"/>
    </w:pPr>
    <w:rPr>
      <w:sz w:val="18"/>
      <w:szCs w:val="18"/>
    </w:rPr>
  </w:style>
  <w:style w:type="character" w:customStyle="1" w:styleId="a6">
    <w:name w:val="页脚 字符"/>
    <w:basedOn w:val="a0"/>
    <w:link w:val="a5"/>
    <w:uiPriority w:val="99"/>
    <w:rsid w:val="006A31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79450">
      <w:marLeft w:val="0"/>
      <w:marRight w:val="0"/>
      <w:marTop w:val="10"/>
      <w:marBottom w:val="10"/>
      <w:divBdr>
        <w:top w:val="none" w:sz="0" w:space="0" w:color="auto"/>
        <w:left w:val="none" w:sz="0" w:space="0" w:color="auto"/>
        <w:bottom w:val="none" w:sz="0" w:space="0" w:color="auto"/>
        <w:right w:val="none" w:sz="0" w:space="0" w:color="auto"/>
      </w:divBdr>
    </w:div>
    <w:div w:id="190069593">
      <w:marLeft w:val="0"/>
      <w:marRight w:val="720"/>
      <w:marTop w:val="10"/>
      <w:marBottom w:val="10"/>
      <w:divBdr>
        <w:top w:val="none" w:sz="0" w:space="0" w:color="auto"/>
        <w:left w:val="none" w:sz="0" w:space="0" w:color="auto"/>
        <w:bottom w:val="none" w:sz="0" w:space="0" w:color="auto"/>
        <w:right w:val="none" w:sz="0" w:space="0" w:color="auto"/>
      </w:divBdr>
    </w:div>
    <w:div w:id="276374347">
      <w:marLeft w:val="0"/>
      <w:marRight w:val="0"/>
      <w:marTop w:val="10"/>
      <w:marBottom w:val="10"/>
      <w:divBdr>
        <w:top w:val="none" w:sz="0" w:space="0" w:color="auto"/>
        <w:left w:val="none" w:sz="0" w:space="0" w:color="auto"/>
        <w:bottom w:val="none" w:sz="0" w:space="0" w:color="auto"/>
        <w:right w:val="none" w:sz="0" w:space="0" w:color="auto"/>
      </w:divBdr>
    </w:div>
    <w:div w:id="290944338">
      <w:marLeft w:val="0"/>
      <w:marRight w:val="0"/>
      <w:marTop w:val="10"/>
      <w:marBottom w:val="10"/>
      <w:divBdr>
        <w:top w:val="none" w:sz="0" w:space="0" w:color="auto"/>
        <w:left w:val="none" w:sz="0" w:space="0" w:color="auto"/>
        <w:bottom w:val="none" w:sz="0" w:space="0" w:color="auto"/>
        <w:right w:val="none" w:sz="0" w:space="0" w:color="auto"/>
      </w:divBdr>
    </w:div>
    <w:div w:id="304894393">
      <w:marLeft w:val="0"/>
      <w:marRight w:val="0"/>
      <w:marTop w:val="10"/>
      <w:marBottom w:val="10"/>
      <w:divBdr>
        <w:top w:val="none" w:sz="0" w:space="0" w:color="auto"/>
        <w:left w:val="none" w:sz="0" w:space="0" w:color="auto"/>
        <w:bottom w:val="none" w:sz="0" w:space="0" w:color="auto"/>
        <w:right w:val="none" w:sz="0" w:space="0" w:color="auto"/>
      </w:divBdr>
    </w:div>
    <w:div w:id="323944783">
      <w:marLeft w:val="0"/>
      <w:marRight w:val="720"/>
      <w:marTop w:val="10"/>
      <w:marBottom w:val="10"/>
      <w:divBdr>
        <w:top w:val="none" w:sz="0" w:space="0" w:color="auto"/>
        <w:left w:val="none" w:sz="0" w:space="0" w:color="auto"/>
        <w:bottom w:val="none" w:sz="0" w:space="0" w:color="auto"/>
        <w:right w:val="none" w:sz="0" w:space="0" w:color="auto"/>
      </w:divBdr>
    </w:div>
    <w:div w:id="388311420">
      <w:marLeft w:val="0"/>
      <w:marRight w:val="0"/>
      <w:marTop w:val="10"/>
      <w:marBottom w:val="10"/>
      <w:divBdr>
        <w:top w:val="none" w:sz="0" w:space="0" w:color="auto"/>
        <w:left w:val="none" w:sz="0" w:space="0" w:color="auto"/>
        <w:bottom w:val="none" w:sz="0" w:space="0" w:color="auto"/>
        <w:right w:val="none" w:sz="0" w:space="0" w:color="auto"/>
      </w:divBdr>
    </w:div>
    <w:div w:id="391463117">
      <w:marLeft w:val="0"/>
      <w:marRight w:val="0"/>
      <w:marTop w:val="10"/>
      <w:marBottom w:val="10"/>
      <w:divBdr>
        <w:top w:val="none" w:sz="0" w:space="0" w:color="auto"/>
        <w:left w:val="none" w:sz="0" w:space="0" w:color="auto"/>
        <w:bottom w:val="none" w:sz="0" w:space="0" w:color="auto"/>
        <w:right w:val="none" w:sz="0" w:space="0" w:color="auto"/>
      </w:divBdr>
    </w:div>
    <w:div w:id="726301216">
      <w:marLeft w:val="0"/>
      <w:marRight w:val="720"/>
      <w:marTop w:val="10"/>
      <w:marBottom w:val="10"/>
      <w:divBdr>
        <w:top w:val="none" w:sz="0" w:space="0" w:color="auto"/>
        <w:left w:val="none" w:sz="0" w:space="0" w:color="auto"/>
        <w:bottom w:val="none" w:sz="0" w:space="0" w:color="auto"/>
        <w:right w:val="none" w:sz="0" w:space="0" w:color="auto"/>
      </w:divBdr>
    </w:div>
    <w:div w:id="1015376796">
      <w:marLeft w:val="0"/>
      <w:marRight w:val="0"/>
      <w:marTop w:val="10"/>
      <w:marBottom w:val="10"/>
      <w:divBdr>
        <w:top w:val="none" w:sz="0" w:space="0" w:color="auto"/>
        <w:left w:val="none" w:sz="0" w:space="0" w:color="auto"/>
        <w:bottom w:val="none" w:sz="0" w:space="0" w:color="auto"/>
        <w:right w:val="none" w:sz="0" w:space="0" w:color="auto"/>
      </w:divBdr>
    </w:div>
    <w:div w:id="1172914077">
      <w:marLeft w:val="0"/>
      <w:marRight w:val="720"/>
      <w:marTop w:val="10"/>
      <w:marBottom w:val="10"/>
      <w:divBdr>
        <w:top w:val="none" w:sz="0" w:space="0" w:color="auto"/>
        <w:left w:val="none" w:sz="0" w:space="0" w:color="auto"/>
        <w:bottom w:val="none" w:sz="0" w:space="0" w:color="auto"/>
        <w:right w:val="none" w:sz="0" w:space="0" w:color="auto"/>
      </w:divBdr>
    </w:div>
    <w:div w:id="1271864065">
      <w:marLeft w:val="0"/>
      <w:marRight w:val="0"/>
      <w:marTop w:val="10"/>
      <w:marBottom w:val="10"/>
      <w:divBdr>
        <w:top w:val="none" w:sz="0" w:space="0" w:color="auto"/>
        <w:left w:val="none" w:sz="0" w:space="0" w:color="auto"/>
        <w:bottom w:val="none" w:sz="0" w:space="0" w:color="auto"/>
        <w:right w:val="none" w:sz="0" w:space="0" w:color="auto"/>
      </w:divBdr>
    </w:div>
    <w:div w:id="1518499212">
      <w:marLeft w:val="0"/>
      <w:marRight w:val="0"/>
      <w:marTop w:val="10"/>
      <w:marBottom w:val="10"/>
      <w:divBdr>
        <w:top w:val="none" w:sz="0" w:space="0" w:color="auto"/>
        <w:left w:val="none" w:sz="0" w:space="0" w:color="auto"/>
        <w:bottom w:val="none" w:sz="0" w:space="0" w:color="auto"/>
        <w:right w:val="none" w:sz="0" w:space="0" w:color="auto"/>
      </w:divBdr>
    </w:div>
    <w:div w:id="1850102081">
      <w:marLeft w:val="0"/>
      <w:marRight w:val="720"/>
      <w:marTop w:val="10"/>
      <w:marBottom w:val="10"/>
      <w:divBdr>
        <w:top w:val="none" w:sz="0" w:space="0" w:color="auto"/>
        <w:left w:val="none" w:sz="0" w:space="0" w:color="auto"/>
        <w:bottom w:val="none" w:sz="0" w:space="0" w:color="auto"/>
        <w:right w:val="none" w:sz="0" w:space="0" w:color="auto"/>
      </w:divBdr>
    </w:div>
    <w:div w:id="1962416350">
      <w:marLeft w:val="0"/>
      <w:marRight w:val="0"/>
      <w:marTop w:val="10"/>
      <w:marBottom w:val="10"/>
      <w:divBdr>
        <w:top w:val="none" w:sz="0" w:space="0" w:color="auto"/>
        <w:left w:val="none" w:sz="0" w:space="0" w:color="auto"/>
        <w:bottom w:val="none" w:sz="0" w:space="0" w:color="auto"/>
        <w:right w:val="none" w:sz="0" w:space="0" w:color="auto"/>
      </w:divBdr>
    </w:div>
    <w:div w:id="2046132032">
      <w:marLeft w:val="0"/>
      <w:marRight w:val="0"/>
      <w:marTop w:val="10"/>
      <w:marBottom w:val="10"/>
      <w:divBdr>
        <w:top w:val="none" w:sz="0" w:space="0" w:color="auto"/>
        <w:left w:val="none" w:sz="0" w:space="0" w:color="auto"/>
        <w:bottom w:val="none" w:sz="0" w:space="0" w:color="auto"/>
        <w:right w:val="none" w:sz="0" w:space="0" w:color="auto"/>
      </w:divBdr>
    </w:div>
    <w:div w:id="2062289641">
      <w:marLeft w:val="0"/>
      <w:marRight w:val="0"/>
      <w:marTop w:val="10"/>
      <w:marBottom w:val="10"/>
      <w:divBdr>
        <w:top w:val="none" w:sz="0" w:space="0" w:color="auto"/>
        <w:left w:val="none" w:sz="0" w:space="0" w:color="auto"/>
        <w:bottom w:val="none" w:sz="0" w:space="0" w:color="auto"/>
        <w:right w:val="none" w:sz="0" w:space="0" w:color="auto"/>
      </w:divBdr>
    </w:div>
    <w:div w:id="21136254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